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6ED4C" w14:textId="77777777" w:rsidR="00A96F3D" w:rsidRDefault="00D63C74" w:rsidP="00A42DE0">
      <w:pPr>
        <w:pStyle w:val="Materialtyp1"/>
      </w:pPr>
      <w:r>
        <w:t>Handlungsanleitung:</w:t>
      </w:r>
    </w:p>
    <w:p w14:paraId="485A6210" w14:textId="24DCB051" w:rsidR="000A44F1" w:rsidRDefault="005F75D4" w:rsidP="00F621ED">
      <w:pPr>
        <w:pStyle w:val="Headline"/>
      </w:pPr>
      <w:r w:rsidRPr="00F91951">
        <w:t>Lern</w:t>
      </w:r>
      <w:r w:rsidR="00F50BDE" w:rsidRPr="00F91951">
        <w:t>beweglichkeit fördern</w:t>
      </w:r>
    </w:p>
    <w:p w14:paraId="5A047138" w14:textId="64D0752C" w:rsidR="00110D8C" w:rsidRPr="00F621ED" w:rsidRDefault="00110D8C" w:rsidP="00F621ED">
      <w:pPr>
        <w:pStyle w:val="Teaser"/>
      </w:pPr>
      <w:r w:rsidRPr="00F621ED">
        <w:t xml:space="preserve">„Wenn alles schläft und einer spricht, das Ganze nennt man Unterricht.“ Dass Unterricht zuweilen langweilig sein kann, ist eine Erfahrung, die allgemein geteilt wird. Lernbeweglichkeit ist ein Mittel der Wahl, um Langeweile – und in der Folge Lernbarrieren </w:t>
      </w:r>
      <w:r w:rsidR="00231593" w:rsidRPr="00F621ED">
        <w:t>–</w:t>
      </w:r>
      <w:r w:rsidRPr="00F621ED">
        <w:t xml:space="preserve"> </w:t>
      </w:r>
      <w:r w:rsidR="00DF3D80" w:rsidRPr="00F621ED">
        <w:t>in Lern-</w:t>
      </w:r>
      <w:r w:rsidR="000E352E" w:rsidRPr="00F621ED">
        <w:t xml:space="preserve"> und </w:t>
      </w:r>
      <w:r w:rsidR="00DF3D80" w:rsidRPr="00F621ED">
        <w:t>Lehrsituationen</w:t>
      </w:r>
      <w:r w:rsidRPr="00F621ED">
        <w:t xml:space="preserve"> erst gar nicht aufkommen zu lassen.</w:t>
      </w:r>
      <w:r w:rsidR="00C55CFC" w:rsidRPr="00F621ED">
        <w:t xml:space="preserve"> In dieser Handlungsanleitung erfahren Sie</w:t>
      </w:r>
      <w:r w:rsidR="003E3058" w:rsidRPr="00F621ED">
        <w:t>,</w:t>
      </w:r>
      <w:r w:rsidR="00C55CFC" w:rsidRPr="00F621ED">
        <w:t xml:space="preserve"> wie </w:t>
      </w:r>
      <w:r w:rsidR="003E3058" w:rsidRPr="00F621ED">
        <w:t>Sie Beweglichkeit ins Lernen bringen</w:t>
      </w:r>
      <w:r w:rsidR="00C55CFC" w:rsidRPr="00F621ED">
        <w:t>.</w:t>
      </w:r>
    </w:p>
    <w:p w14:paraId="77785346" w14:textId="5185527C" w:rsidR="00110D8C" w:rsidRDefault="003A3B15" w:rsidP="003A3B15">
      <w:pPr>
        <w:pStyle w:val="Flietext"/>
      </w:pPr>
      <w:r>
        <w:t xml:space="preserve">Manche </w:t>
      </w:r>
      <w:r w:rsidR="003E3058">
        <w:t>Lernende haben die Vorstellung</w:t>
      </w:r>
      <w:r w:rsidR="00110D8C">
        <w:t xml:space="preserve">, Lernen </w:t>
      </w:r>
      <w:r w:rsidR="007001BF">
        <w:t xml:space="preserve">stelle sich dann ein, </w:t>
      </w:r>
      <w:r w:rsidR="00110D8C">
        <w:t xml:space="preserve">wenn die Kursleitung </w:t>
      </w:r>
      <w:r w:rsidR="007001BF">
        <w:t>im Fron</w:t>
      </w:r>
      <w:r w:rsidR="002B666B">
        <w:t>ta</w:t>
      </w:r>
      <w:r w:rsidR="007001BF">
        <w:t>lu</w:t>
      </w:r>
      <w:r w:rsidR="00110D8C">
        <w:t xml:space="preserve">nterricht den Lernstoff vermittelt. </w:t>
      </w:r>
      <w:r w:rsidR="007001BF">
        <w:t xml:space="preserve">Wie viele Gesichter </w:t>
      </w:r>
      <w:r w:rsidR="00110D8C">
        <w:t xml:space="preserve">Lernen haben kann, </w:t>
      </w:r>
      <w:r w:rsidR="007001BF">
        <w:t>wie lebendig und</w:t>
      </w:r>
      <w:r w:rsidR="00110D8C">
        <w:t xml:space="preserve"> aktiv </w:t>
      </w:r>
      <w:r w:rsidR="007001BF">
        <w:t xml:space="preserve">es </w:t>
      </w:r>
      <w:r w:rsidR="00110D8C">
        <w:t xml:space="preserve">sein kann, ist gerade lernungewohnten Teilnehmenden </w:t>
      </w:r>
      <w:r w:rsidR="00C55CFC">
        <w:t>kaum</w:t>
      </w:r>
      <w:r w:rsidR="00110D8C">
        <w:t xml:space="preserve"> bewusst</w:t>
      </w:r>
      <w:r w:rsidR="00C55CFC">
        <w:t>. Viele</w:t>
      </w:r>
      <w:r w:rsidR="008050F4">
        <w:t xml:space="preserve"> </w:t>
      </w:r>
      <w:r w:rsidR="00C55CFC">
        <w:t xml:space="preserve">verbinden mit Lernen noch </w:t>
      </w:r>
      <w:r w:rsidR="008050F4">
        <w:t xml:space="preserve">immer </w:t>
      </w:r>
      <w:r w:rsidR="00C55CFC">
        <w:t>d</w:t>
      </w:r>
      <w:r w:rsidR="00DF3D80">
        <w:t>as M</w:t>
      </w:r>
      <w:r w:rsidR="00C55CFC">
        <w:t xml:space="preserve">odell </w:t>
      </w:r>
      <w:r w:rsidR="00DF3D80">
        <w:t xml:space="preserve">des </w:t>
      </w:r>
      <w:r w:rsidR="00C55CFC">
        <w:t>Nürnberger Trichter</w:t>
      </w:r>
      <w:r w:rsidR="00DF3D80">
        <w:t>s, d.h. Lehrstoff wird ihnen eingetrichtert und gilt dann als gelernt.</w:t>
      </w:r>
      <w:r w:rsidR="007001BF">
        <w:t xml:space="preserve"> </w:t>
      </w:r>
      <w:r w:rsidR="00C55CFC">
        <w:t>Dabei</w:t>
      </w:r>
      <w:r w:rsidR="00110D8C">
        <w:t xml:space="preserve"> wirkt ein Unterricht ohne Abwechslung und Aktivität der Lernenden nicht nur ermüden</w:t>
      </w:r>
      <w:r w:rsidR="00231593">
        <w:t xml:space="preserve">d, er provoziert </w:t>
      </w:r>
      <w:r w:rsidR="00C55CFC">
        <w:t xml:space="preserve">darüber hinaus </w:t>
      </w:r>
      <w:r w:rsidR="00231593">
        <w:t>Lernbarrieren.</w:t>
      </w:r>
    </w:p>
    <w:p w14:paraId="5011E6E3" w14:textId="6CD35C96" w:rsidR="00E31E3A" w:rsidRDefault="00D67873" w:rsidP="003A3B15">
      <w:pPr>
        <w:pStyle w:val="Flietext"/>
      </w:pPr>
      <w:r>
        <w:t xml:space="preserve">Die Lernbeweglichkeit zu fördern bedeutet, den </w:t>
      </w:r>
      <w:r w:rsidR="00C55CFC">
        <w:t xml:space="preserve">Lernenden </w:t>
      </w:r>
      <w:r>
        <w:t>im Lernprozess</w:t>
      </w:r>
      <w:r w:rsidR="00C55CFC">
        <w:t xml:space="preserve"> bewusst</w:t>
      </w:r>
      <w:r>
        <w:t xml:space="preserve"> Erfahrungen zu eröffnen, auf welche unterschiedlichen Arten Lernen erfolgen kann. </w:t>
      </w:r>
      <w:r w:rsidR="00E31E3A">
        <w:t xml:space="preserve">Gerade in der Bildungsarbeit mit weniger lerngewohnten Teilnehmenden sollte die Förderung der Lernbeweglichkeit explizites Ziel von Weiterbildung sein, um die individuellen Voraussetzungen für lebensbegleitendes Lernen zu entwickeln. </w:t>
      </w:r>
    </w:p>
    <w:p w14:paraId="5E1F8DC7" w14:textId="2C2C173D" w:rsidR="00D67873" w:rsidRDefault="00D67873" w:rsidP="003A3B15">
      <w:pPr>
        <w:pStyle w:val="Flietext"/>
      </w:pPr>
      <w:r>
        <w:t xml:space="preserve">Bewährt hat es sich, </w:t>
      </w:r>
      <w:r w:rsidR="003B65F7">
        <w:t xml:space="preserve">wenn Kursleitende </w:t>
      </w:r>
      <w:r>
        <w:t xml:space="preserve">einmal biographisch beginnen und den Blick </w:t>
      </w:r>
      <w:r w:rsidR="003E3058">
        <w:t xml:space="preserve">der Lernenden </w:t>
      </w:r>
      <w:r>
        <w:t xml:space="preserve">dafür öffnen, was und wo </w:t>
      </w:r>
      <w:r w:rsidR="003E3058">
        <w:t>sie</w:t>
      </w:r>
      <w:r>
        <w:t xml:space="preserve"> im Laufe des Lebens gelernt und Kompetenzen erworben ha</w:t>
      </w:r>
      <w:r w:rsidR="003E3058">
        <w:t>ben</w:t>
      </w:r>
      <w:r>
        <w:t>.</w:t>
      </w:r>
      <w:r w:rsidR="00C55CFC">
        <w:t xml:space="preserve"> Ausgehend von der Frage „Wo überall lerne ich“ werden im Folgenden einige Methoden zur Förderung der Lernbeweglichkeit dargestellt, die sich in der Praxis bewährt haben.</w:t>
      </w:r>
    </w:p>
    <w:p w14:paraId="7B8EF41D" w14:textId="1388918D" w:rsidR="00A96F3D" w:rsidRDefault="00A96F3D" w:rsidP="003A3B15">
      <w:pPr>
        <w:pStyle w:val="Zwischenberschrift"/>
      </w:pPr>
      <w:r>
        <w:t>Wo lerne ich?</w:t>
      </w:r>
    </w:p>
    <w:p w14:paraId="36380129" w14:textId="5E7B0D56" w:rsidR="00A96F3D" w:rsidRDefault="00A96F3D" w:rsidP="003A3B15">
      <w:pPr>
        <w:pStyle w:val="Flietext"/>
      </w:pPr>
      <w:r>
        <w:t xml:space="preserve">Lernbeweglichkeit ist mehr als das Genießen von abwechslungsreichem Unterricht. Gerade bei Geringqualifizierten, die Lernen </w:t>
      </w:r>
      <w:r w:rsidR="003B65F7">
        <w:t xml:space="preserve">oftmals </w:t>
      </w:r>
      <w:r>
        <w:t>mit formalen Lernkontexten wie etwa Schule assoziieren, geht es zunächst darum, ihnen ihre eigene Lernbeweglichkeit bewusst zu machen</w:t>
      </w:r>
      <w:r w:rsidR="00C55CFC">
        <w:t xml:space="preserve">. Sie sollen </w:t>
      </w:r>
      <w:r w:rsidR="003B65F7">
        <w:t>entdecken</w:t>
      </w:r>
      <w:r>
        <w:t xml:space="preserve">, dass sie in ihrem Leben viel gelernt haben, an unterschiedlichen Orten und auf sehr verschiedene Art und Weise; und das, obwohl ihr aktueller Status </w:t>
      </w:r>
      <w:r w:rsidR="00C55CFC">
        <w:t xml:space="preserve">„geringqualifiziert“ </w:t>
      </w:r>
      <w:r>
        <w:t xml:space="preserve">darauf nicht unbedingt hindeutet. Der kanadische Bildungsforscher </w:t>
      </w:r>
      <w:hyperlink r:id="rId11" w:history="1">
        <w:r w:rsidRPr="003A3B15">
          <w:rPr>
            <w:rStyle w:val="Hyperlink"/>
          </w:rPr>
          <w:t>Livingston</w:t>
        </w:r>
      </w:hyperlink>
      <w:r>
        <w:t xml:space="preserve"> geht davon aus, </w:t>
      </w:r>
      <w:r>
        <w:lastRenderedPageBreak/>
        <w:t>dass das, was wir wissen und können, zu über 70</w:t>
      </w:r>
      <w:r w:rsidR="003E3058">
        <w:t xml:space="preserve"> Prozent</w:t>
      </w:r>
      <w:r>
        <w:t xml:space="preserve"> informell erworben wurde</w:t>
      </w:r>
      <w:r w:rsidR="003A3B15">
        <w:t xml:space="preserve">. </w:t>
      </w:r>
      <w:r>
        <w:t>Sich bewusst zu machen, was man im informellen Lernen geleistet hat, ist auch ein wichtiger Baustein beim Aufbau eines Selbstbewusstseins, das gerade bei Geringqualifizierten oft schwach ausgeprägt ist. Die fatale Folge ist, dass sie sich deshalb häufig weniger zutrauen als sie tatsächlich können. Ein Mindestmaß an Selbstbewusstsein ist Voraussetzung für gelingendes Lernen. Lernbarrieren sind häufig in fehlendem Selbstbewusstsein</w:t>
      </w:r>
      <w:r w:rsidR="00231593">
        <w:t xml:space="preserve"> in Bezug auf Lernen begründet.</w:t>
      </w:r>
    </w:p>
    <w:p w14:paraId="1D9148DB" w14:textId="35F48E6E" w:rsidR="00A96F3D" w:rsidRDefault="00FD7066" w:rsidP="003A3B15">
      <w:pPr>
        <w:pStyle w:val="Zwischenberschrift"/>
      </w:pPr>
      <w:r>
        <w:t xml:space="preserve">Lernbeweglichkeit fördern – so kann es </w:t>
      </w:r>
      <w:r w:rsidR="00A96F3D">
        <w:t>gehen</w:t>
      </w:r>
    </w:p>
    <w:p w14:paraId="69A4AD8E" w14:textId="6B835BCB" w:rsidR="00A96F3D" w:rsidRDefault="00A96F3D" w:rsidP="003A3B15">
      <w:pPr>
        <w:pStyle w:val="Flietext"/>
      </w:pPr>
      <w:r>
        <w:t>Bewusstsein das eigene L</w:t>
      </w:r>
      <w:r w:rsidR="00C931B9">
        <w:t>ernen</w:t>
      </w:r>
      <w:r>
        <w:t xml:space="preserve"> und damit die eigene Lernbeweglichkeit zu entwickeln, lässt sich </w:t>
      </w:r>
      <w:r w:rsidR="00AB2ECE">
        <w:t xml:space="preserve">z.B. </w:t>
      </w:r>
      <w:r>
        <w:t>mit Hilfe einer zweistufigen Übung fördern</w:t>
      </w:r>
      <w:r w:rsidR="00D67873">
        <w:t>.</w:t>
      </w:r>
    </w:p>
    <w:p w14:paraId="6DA32309" w14:textId="5DD219AE" w:rsidR="00D67873" w:rsidRDefault="002B5085" w:rsidP="003A3B15">
      <w:pPr>
        <w:pStyle w:val="Flietext"/>
      </w:pPr>
      <w:r w:rsidRPr="002B5085">
        <w:rPr>
          <w:noProof/>
        </w:rPr>
        <w:drawing>
          <wp:anchor distT="0" distB="0" distL="114300" distR="114300" simplePos="0" relativeHeight="251673600" behindDoc="0" locked="0" layoutInCell="1" allowOverlap="1" wp14:anchorId="527DF27B" wp14:editId="5F56762F">
            <wp:simplePos x="0" y="0"/>
            <wp:positionH relativeFrom="column">
              <wp:posOffset>2131695</wp:posOffset>
            </wp:positionH>
            <wp:positionV relativeFrom="paragraph">
              <wp:posOffset>182245</wp:posOffset>
            </wp:positionV>
            <wp:extent cx="3578860" cy="3733800"/>
            <wp:effectExtent l="0" t="0" r="2540" b="0"/>
            <wp:wrapSquare wrapText="bothSides"/>
            <wp:docPr id="2" name="Grafik 2" descr="O:\AB Portale\wb web\Materialien Content\02Serien Dossiers\Geringqualifizierte\neu von Sharepoint BST 19.4.16\Kathrin\GQ_LBA_HA_Lernbeweglichke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B Portale\wb web\Materialien Content\02Serien Dossiers\Geringqualifizierte\neu von Sharepoint BST 19.4.16\Kathrin\GQ_LBA_HA_Lernbeweglichkeit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9379" b="12387"/>
                    <a:stretch/>
                  </pic:blipFill>
                  <pic:spPr bwMode="auto">
                    <a:xfrm>
                      <a:off x="0" y="0"/>
                      <a:ext cx="3578860" cy="3733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873">
        <w:t>Im ersten Schritt bitten Sie Ihre Teilnehmenden</w:t>
      </w:r>
      <w:r w:rsidR="009569C8">
        <w:t xml:space="preserve"> </w:t>
      </w:r>
      <w:r w:rsidR="00D67873">
        <w:t xml:space="preserve">auf Metaplankarten zu schreiben: </w:t>
      </w:r>
      <w:r w:rsidR="004E1E68">
        <w:t xml:space="preserve">Was habe ich </w:t>
      </w:r>
      <w:r w:rsidR="00D67873">
        <w:t xml:space="preserve">Laufe </w:t>
      </w:r>
      <w:r w:rsidR="004E1E68">
        <w:t>meines Lebens gemacht</w:t>
      </w:r>
      <w:r w:rsidR="00D67873">
        <w:t xml:space="preserve">? </w:t>
      </w:r>
      <w:r w:rsidR="007D2A2F">
        <w:t>Was musste ich dazu können? Was habe ich dabei gelernt?</w:t>
      </w:r>
      <w:r w:rsidR="00D67873">
        <w:t xml:space="preserve"> Denken Sie an Arbeit, Freizeit, Hobbies, Familienleben</w:t>
      </w:r>
      <w:r w:rsidR="007D2A2F">
        <w:t xml:space="preserve"> (z.B. Babysitten, Tapezieren etc</w:t>
      </w:r>
      <w:r w:rsidR="00997309">
        <w:t>.</w:t>
      </w:r>
      <w:r w:rsidR="007D2A2F">
        <w:t>)</w:t>
      </w:r>
      <w:r w:rsidR="00D67873">
        <w:t>.</w:t>
      </w:r>
    </w:p>
    <w:p w14:paraId="2683F32D" w14:textId="0441C4DA" w:rsidR="00B137E3" w:rsidRDefault="00A96F3D" w:rsidP="003A3B15">
      <w:pPr>
        <w:pStyle w:val="Flietext"/>
      </w:pPr>
      <w:r>
        <w:t>Im zweiten Schritt bereiten Sie zwei, drei Stellwände vor mit der Überschrift „Orte des Lernens“ und bestücken diese mit runden Metaplankarten, die die unterschiedlichen Felder des Lernens abdecken</w:t>
      </w:r>
      <w:r w:rsidR="00E641B1">
        <w:t>.</w:t>
      </w:r>
    </w:p>
    <w:p w14:paraId="4D6A15A1" w14:textId="61DE6833" w:rsidR="00A96F3D" w:rsidRDefault="002B5085" w:rsidP="003A3B15">
      <w:pPr>
        <w:pStyle w:val="Flietext"/>
      </w:pPr>
      <w:r>
        <w:rPr>
          <w:noProof/>
          <w:bdr w:val="none" w:sz="0" w:space="0" w:color="auto"/>
        </w:rPr>
        <mc:AlternateContent>
          <mc:Choice Requires="wps">
            <w:drawing>
              <wp:anchor distT="0" distB="0" distL="114300" distR="114300" simplePos="0" relativeHeight="251666432" behindDoc="1" locked="0" layoutInCell="1" allowOverlap="1" wp14:anchorId="5B153816" wp14:editId="600746BC">
                <wp:simplePos x="0" y="0"/>
                <wp:positionH relativeFrom="column">
                  <wp:posOffset>2176780</wp:posOffset>
                </wp:positionH>
                <wp:positionV relativeFrom="paragraph">
                  <wp:posOffset>360045</wp:posOffset>
                </wp:positionV>
                <wp:extent cx="3483610" cy="266700"/>
                <wp:effectExtent l="0" t="0" r="254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66700"/>
                        </a:xfrm>
                        <a:prstGeom prst="rect">
                          <a:avLst/>
                        </a:prstGeom>
                        <a:solidFill>
                          <a:srgbClr val="FFFFFF"/>
                        </a:solidFill>
                        <a:ln w="9525">
                          <a:noFill/>
                          <a:miter lim="800000"/>
                          <a:headEnd/>
                          <a:tailEnd/>
                        </a:ln>
                      </wps:spPr>
                      <wps:txbx>
                        <w:txbxContent>
                          <w:p w14:paraId="21A30714" w14:textId="1B0E7A19" w:rsidR="00E641B1" w:rsidRPr="0079647B" w:rsidRDefault="00E641B1" w:rsidP="0079647B">
                            <w:pPr>
                              <w:spacing w:after="0" w:line="240" w:lineRule="auto"/>
                              <w:rPr>
                                <w:rFonts w:ascii="Arial" w:hAnsi="Arial" w:cs="Arial"/>
                                <w:i/>
                                <w:sz w:val="20"/>
                                <w:szCs w:val="20"/>
                              </w:rPr>
                            </w:pPr>
                            <w:r w:rsidRPr="0079647B">
                              <w:rPr>
                                <w:rFonts w:ascii="Arial" w:hAnsi="Arial" w:cs="Arial"/>
                                <w:i/>
                                <w:sz w:val="20"/>
                                <w:szCs w:val="20"/>
                              </w:rPr>
                              <w:t xml:space="preserve">Orte des Lernens </w:t>
                            </w:r>
                            <w:r>
                              <w:rPr>
                                <w:rFonts w:ascii="Arial" w:hAnsi="Arial" w:cs="Arial"/>
                                <w:i/>
                                <w:sz w:val="20"/>
                                <w:szCs w:val="20"/>
                              </w:rPr>
                              <w:t>(</w:t>
                            </w:r>
                            <w:r w:rsidRPr="0079647B">
                              <w:rPr>
                                <w:rFonts w:ascii="Arial" w:hAnsi="Arial" w:cs="Arial"/>
                                <w:i/>
                                <w:sz w:val="20"/>
                                <w:szCs w:val="20"/>
                              </w:rPr>
                              <w:t xml:space="preserve">Rosemarie Klein, </w:t>
                            </w:r>
                            <w:r>
                              <w:rPr>
                                <w:rFonts w:ascii="Arial" w:hAnsi="Arial" w:cs="Arial"/>
                                <w:i/>
                                <w:sz w:val="20"/>
                                <w:szCs w:val="20"/>
                              </w:rPr>
                              <w:t>CC BY-SA</w:t>
                            </w:r>
                            <w:r w:rsidRPr="0079647B">
                              <w:rPr>
                                <w:rFonts w:ascii="Arial" w:hAnsi="Arial" w:cs="Arial"/>
                                <w:i/>
                                <w:sz w:val="20"/>
                                <w:szCs w:val="20"/>
                              </w:rPr>
                              <w:t xml:space="preserve"> 4.0</w:t>
                            </w:r>
                            <w:r>
                              <w:rPr>
                                <w:rFonts w:ascii="Arial" w:hAnsi="Arial" w:cs="Arial"/>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53816" id="_x0000_t202" coordsize="21600,21600" o:spt="202" path="m,l,21600r21600,l21600,xe">
                <v:stroke joinstyle="miter"/>
                <v:path gradientshapeok="t" o:connecttype="rect"/>
              </v:shapetype>
              <v:shape id="Text Box 4" o:spid="_x0000_s1026" type="#_x0000_t202" style="position:absolute;margin-left:171.4pt;margin-top:28.35pt;width:274.3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" stroked="f">
                <v:textbox>
                  <w:txbxContent>
                    <w:p w14:paraId="21A30714" w14:textId="1B0E7A19" w:rsidR="00E641B1" w:rsidRPr="0079647B" w:rsidRDefault="00E641B1" w:rsidP="0079647B">
                      <w:pPr>
                        <w:spacing w:after="0" w:line="240" w:lineRule="auto"/>
                        <w:rPr>
                          <w:rFonts w:ascii="Arial" w:hAnsi="Arial" w:cs="Arial"/>
                          <w:i/>
                          <w:sz w:val="20"/>
                          <w:szCs w:val="20"/>
                        </w:rPr>
                      </w:pPr>
                      <w:r w:rsidRPr="0079647B">
                        <w:rPr>
                          <w:rFonts w:ascii="Arial" w:hAnsi="Arial" w:cs="Arial"/>
                          <w:i/>
                          <w:sz w:val="20"/>
                          <w:szCs w:val="20"/>
                        </w:rPr>
                        <w:t xml:space="preserve">Orte des Lernens </w:t>
                      </w:r>
                      <w:r>
                        <w:rPr>
                          <w:rFonts w:ascii="Arial" w:hAnsi="Arial" w:cs="Arial"/>
                          <w:i/>
                          <w:sz w:val="20"/>
                          <w:szCs w:val="20"/>
                        </w:rPr>
                        <w:t>(</w:t>
                      </w:r>
                      <w:r w:rsidRPr="0079647B">
                        <w:rPr>
                          <w:rFonts w:ascii="Arial" w:hAnsi="Arial" w:cs="Arial"/>
                          <w:i/>
                          <w:sz w:val="20"/>
                          <w:szCs w:val="20"/>
                        </w:rPr>
                        <w:t xml:space="preserve">Rosemarie Klein, </w:t>
                      </w:r>
                      <w:r>
                        <w:rPr>
                          <w:rFonts w:ascii="Arial" w:hAnsi="Arial" w:cs="Arial"/>
                          <w:i/>
                          <w:sz w:val="20"/>
                          <w:szCs w:val="20"/>
                        </w:rPr>
                        <w:t>CC BY-SA</w:t>
                      </w:r>
                      <w:r w:rsidRPr="0079647B">
                        <w:rPr>
                          <w:rFonts w:ascii="Arial" w:hAnsi="Arial" w:cs="Arial"/>
                          <w:i/>
                          <w:sz w:val="20"/>
                          <w:szCs w:val="20"/>
                        </w:rPr>
                        <w:t xml:space="preserve"> 4.0</w:t>
                      </w:r>
                      <w:r>
                        <w:rPr>
                          <w:rFonts w:ascii="Arial" w:hAnsi="Arial" w:cs="Arial"/>
                          <w:i/>
                          <w:sz w:val="20"/>
                          <w:szCs w:val="20"/>
                        </w:rPr>
                        <w:t>)</w:t>
                      </w:r>
                    </w:p>
                  </w:txbxContent>
                </v:textbox>
                <w10:wrap type="square"/>
              </v:shape>
            </w:pict>
          </mc:Fallback>
        </mc:AlternateContent>
      </w:r>
      <w:r w:rsidR="00A96F3D">
        <w:t>Die Lernenden übertragen die im ersten Schritt identifizierten Kompetenzen auf Metaplankarten und o</w:t>
      </w:r>
      <w:r w:rsidR="00D67873">
        <w:t>rdnen diese jeweils dem Feld zu</w:t>
      </w:r>
      <w:r w:rsidR="00A96F3D">
        <w:t xml:space="preserve">, in dem sie erworben wurden. Für Kursleitende vielleicht </w:t>
      </w:r>
      <w:r w:rsidR="00FD7066">
        <w:t xml:space="preserve">unerwartet, </w:t>
      </w:r>
      <w:r w:rsidR="00A96F3D">
        <w:t xml:space="preserve">für die Lernenden aber durchaus hilfreich, ist die Erkenntnis, dass jede und jeder in seinem und ihrem Leben eine Fülle von Kompetenzen </w:t>
      </w:r>
      <w:r w:rsidR="00A96F3D">
        <w:lastRenderedPageBreak/>
        <w:t>erworben hat, wenn auch nicht zwingend in einem</w:t>
      </w:r>
      <w:r w:rsidR="00231593">
        <w:t xml:space="preserve"> formalen Bildungszusammenhang.</w:t>
      </w:r>
    </w:p>
    <w:p w14:paraId="79CC96AE" w14:textId="37000791" w:rsidR="006A7971" w:rsidRDefault="00FD7066" w:rsidP="003A3B15">
      <w:pPr>
        <w:pStyle w:val="Flietext"/>
      </w:pPr>
      <w:r>
        <w:t xml:space="preserve">Auch wenn die meiste Arbeit im Kurs von den Lernenden zu leisten ist: </w:t>
      </w:r>
      <w:r w:rsidR="00AB2ECE">
        <w:t xml:space="preserve">Das Fördern der Lernbeweglichkeit ist in erster Linie eine Herausforderung an die Lehrenden, die </w:t>
      </w:r>
      <w:r w:rsidR="00D67873">
        <w:t xml:space="preserve">die </w:t>
      </w:r>
      <w:r w:rsidR="00AB2ECE">
        <w:t>Verantwortung für ein anregendes, abwec</w:t>
      </w:r>
      <w:r w:rsidR="00231593">
        <w:t>hslungsreiches Lernen tragen.</w:t>
      </w:r>
      <w:r w:rsidR="0079647B">
        <w:t xml:space="preserve"> </w:t>
      </w:r>
    </w:p>
    <w:p w14:paraId="38BD7F35" w14:textId="5384541C" w:rsidR="006A7971" w:rsidRDefault="006A7971" w:rsidP="003A3B15">
      <w:pPr>
        <w:pStyle w:val="Zwischenberschrift"/>
      </w:pPr>
      <w:r>
        <w:t>Lernbeweglichkeit durch gute Unterrichtsdramaturgie</w:t>
      </w:r>
    </w:p>
    <w:p w14:paraId="58C5E09B" w14:textId="771A51C6" w:rsidR="006A7971" w:rsidRDefault="00FD7066" w:rsidP="003A3B15">
      <w:pPr>
        <w:pStyle w:val="Flietext"/>
      </w:pPr>
      <w:r>
        <w:t>Auch wenn Methoden wie die oben genannte viel dazu beitragen können Lernbeweglichkeit zu fördern: D</w:t>
      </w:r>
      <w:r w:rsidR="00D67873">
        <w:t xml:space="preserve">ie Erfahrung zeigt, dass es nicht genügt, einen Methodenzauber </w:t>
      </w:r>
      <w:r w:rsidR="006A7971">
        <w:t>zu entfachen. Die Kunst liegt darin, ein</w:t>
      </w:r>
      <w:r>
        <w:t>en</w:t>
      </w:r>
      <w:r w:rsidR="006A7971">
        <w:t xml:space="preserve"> Lern</w:t>
      </w:r>
      <w:r>
        <w:t xml:space="preserve">prozess dramaturgisch </w:t>
      </w:r>
      <w:r w:rsidR="00BE4CC0">
        <w:t xml:space="preserve">derart </w:t>
      </w:r>
      <w:r>
        <w:t>zu gestalten, dass</w:t>
      </w:r>
    </w:p>
    <w:p w14:paraId="3A4677AB" w14:textId="6FC675F5" w:rsidR="00AB2ECE" w:rsidRDefault="00AB2ECE" w:rsidP="003A3B15">
      <w:pPr>
        <w:pStyle w:val="AufzhlungPunkte"/>
      </w:pPr>
      <w:r>
        <w:t xml:space="preserve">Neugierde </w:t>
      </w:r>
      <w:r w:rsidR="00FD7066">
        <w:t>ge</w:t>
      </w:r>
      <w:r>
        <w:t>weckt</w:t>
      </w:r>
      <w:r w:rsidR="00FD7066">
        <w:t xml:space="preserve"> wird</w:t>
      </w:r>
      <w:r w:rsidR="00231593">
        <w:t>,</w:t>
      </w:r>
    </w:p>
    <w:p w14:paraId="3C69C166" w14:textId="2BA835A9" w:rsidR="00AB2ECE" w:rsidRDefault="006A7971" w:rsidP="003A3B15">
      <w:pPr>
        <w:pStyle w:val="AufzhlungPunkte"/>
      </w:pPr>
      <w:r>
        <w:t>d</w:t>
      </w:r>
      <w:r w:rsidR="00AB2ECE">
        <w:t>ie Emotionen der Lernenden erreicht</w:t>
      </w:r>
      <w:r w:rsidR="00FD7066">
        <w:t xml:space="preserve"> werden</w:t>
      </w:r>
      <w:r w:rsidR="00231593">
        <w:t>,</w:t>
      </w:r>
    </w:p>
    <w:p w14:paraId="402D3D92" w14:textId="4614C554" w:rsidR="00AB2ECE" w:rsidRDefault="004A1DD9" w:rsidP="003A3B15">
      <w:pPr>
        <w:pStyle w:val="AufzhlungPunkte"/>
      </w:pPr>
      <w:r>
        <w:t>m</w:t>
      </w:r>
      <w:r w:rsidR="00AB2ECE">
        <w:t xml:space="preserve">öglichst viele Sinne </w:t>
      </w:r>
      <w:r w:rsidR="00FD7066">
        <w:t>angesprochen werden</w:t>
      </w:r>
      <w:r w:rsidR="00231593">
        <w:t>,</w:t>
      </w:r>
    </w:p>
    <w:p w14:paraId="229FE9E0" w14:textId="25E30999" w:rsidR="00905E2C" w:rsidRDefault="00FD7066" w:rsidP="003A3B15">
      <w:pPr>
        <w:pStyle w:val="AufzhlungPunkte"/>
      </w:pPr>
      <w:r>
        <w:t xml:space="preserve">Lernen auch </w:t>
      </w:r>
      <w:r w:rsidR="00905E2C">
        <w:t>Spaß macht</w:t>
      </w:r>
      <w:r w:rsidR="00231593">
        <w:t>,</w:t>
      </w:r>
    </w:p>
    <w:p w14:paraId="6BDBF610" w14:textId="11F40382" w:rsidR="00905E2C" w:rsidRDefault="00905E2C" w:rsidP="003A3B15">
      <w:pPr>
        <w:pStyle w:val="AufzhlungPunkte"/>
      </w:pPr>
      <w:r>
        <w:t xml:space="preserve">Fehler als Lernchance </w:t>
      </w:r>
      <w:r w:rsidR="00FD7066">
        <w:t>begriffen werden</w:t>
      </w:r>
      <w:r>
        <w:t>.</w:t>
      </w:r>
    </w:p>
    <w:p w14:paraId="707BACC9" w14:textId="6B49AB1F" w:rsidR="006A7971" w:rsidRDefault="00FD7066" w:rsidP="003A3B15">
      <w:pPr>
        <w:pStyle w:val="Flietext"/>
      </w:pPr>
      <w:r>
        <w:t>Mit einer guten Dramaturgie l</w:t>
      </w:r>
      <w:r w:rsidR="006A7971">
        <w:t xml:space="preserve">aden Sie Ihre Teilnehmenden dazu ein, </w:t>
      </w:r>
      <w:r w:rsidR="00BE4CC0">
        <w:t xml:space="preserve">bewusst </w:t>
      </w:r>
      <w:r w:rsidR="006A7971">
        <w:t xml:space="preserve">auf eine andere Art und Weise ein Thema zu bearbeiten. </w:t>
      </w:r>
      <w:r>
        <w:t xml:space="preserve">Sie </w:t>
      </w:r>
      <w:r w:rsidR="009569C8">
        <w:t>e</w:t>
      </w:r>
      <w:r w:rsidR="006A7971">
        <w:t>rmutigen</w:t>
      </w:r>
      <w:r w:rsidR="0001142C">
        <w:t xml:space="preserve"> </w:t>
      </w:r>
      <w:r>
        <w:t xml:space="preserve">sie </w:t>
      </w:r>
      <w:r w:rsidR="0001142C">
        <w:t xml:space="preserve">zum Ausprobieren, </w:t>
      </w:r>
      <w:r w:rsidR="006A7971">
        <w:t>Experimentieren</w:t>
      </w:r>
      <w:r>
        <w:t>. Dabei helfen Ihnen folgende Mittel</w:t>
      </w:r>
      <w:r w:rsidR="0001142C">
        <w:t>:</w:t>
      </w:r>
      <w:r w:rsidR="006A7971">
        <w:t xml:space="preserve"> </w:t>
      </w:r>
    </w:p>
    <w:p w14:paraId="53A0874A" w14:textId="40812491" w:rsidR="004A1DD9" w:rsidRDefault="0001142C" w:rsidP="003A3B15">
      <w:pPr>
        <w:pStyle w:val="AufzhlungPunkte"/>
      </w:pPr>
      <w:r w:rsidRPr="00905E2C">
        <w:rPr>
          <w:i/>
        </w:rPr>
        <w:t xml:space="preserve">Wechsel der </w:t>
      </w:r>
      <w:r w:rsidR="004A1DD9" w:rsidRPr="00905E2C">
        <w:rPr>
          <w:i/>
        </w:rPr>
        <w:t>Sozialformen</w:t>
      </w:r>
      <w:r w:rsidR="004A1DD9">
        <w:t xml:space="preserve">: </w:t>
      </w:r>
      <w:r w:rsidR="00821336">
        <w:t xml:space="preserve">Durch die Kombination verschiedener Elemente wie </w:t>
      </w:r>
      <w:r w:rsidR="004A1DD9">
        <w:t>Vortrag, Einzelarbeit, Tandem- oder Partnerarbeit, Gruppenarbeit</w:t>
      </w:r>
      <w:r w:rsidR="00231593">
        <w:t>, Plenum</w:t>
      </w:r>
      <w:r w:rsidR="00821336">
        <w:t xml:space="preserve"> schaffen </w:t>
      </w:r>
      <w:r w:rsidR="00BE4CC0">
        <w:t>S</w:t>
      </w:r>
      <w:r w:rsidR="00821336">
        <w:t>ie Abwechslung zwischen individueller Wissensaneignung und kollektiver Auseinandersetzung mit Wissen. Damit halten sie den Lernprozess am Laufen.</w:t>
      </w:r>
    </w:p>
    <w:p w14:paraId="50730DDB" w14:textId="273ABC23" w:rsidR="005E7BE5" w:rsidRDefault="005E7BE5" w:rsidP="003A3B15">
      <w:pPr>
        <w:pStyle w:val="AufzhlungPunkte"/>
      </w:pPr>
      <w:r w:rsidRPr="00905E2C">
        <w:rPr>
          <w:i/>
        </w:rPr>
        <w:t>Aktivierende</w:t>
      </w:r>
      <w:r>
        <w:rPr>
          <w:i/>
        </w:rPr>
        <w:t>, lebendige</w:t>
      </w:r>
      <w:r w:rsidRPr="00905E2C">
        <w:rPr>
          <w:i/>
        </w:rPr>
        <w:t xml:space="preserve"> Lernmethoden</w:t>
      </w:r>
      <w:r w:rsidR="00821336">
        <w:rPr>
          <w:i/>
        </w:rPr>
        <w:t xml:space="preserve">: </w:t>
      </w:r>
      <w:r w:rsidR="00821336" w:rsidRPr="009569C8">
        <w:t xml:space="preserve">Diese eignen sich </w:t>
      </w:r>
      <w:r w:rsidRPr="009569C8">
        <w:t>für d</w:t>
      </w:r>
      <w:r>
        <w:t>en Einstieg in ein Thema, die Aneignung von Wissen, die Diskussion von Fragen, die Anwendung/das Ausprobieren von Gelerntem, die Ergebnissicherung un</w:t>
      </w:r>
      <w:r w:rsidR="00C931B9">
        <w:t>d den Ausstieg aus einem Thema</w:t>
      </w:r>
      <w:r w:rsidR="00D303E3">
        <w:t>.</w:t>
      </w:r>
      <w:r w:rsidR="00821336">
        <w:t xml:space="preserve"> Sie tragen dazu bei</w:t>
      </w:r>
      <w:r w:rsidR="009569C8">
        <w:t>,</w:t>
      </w:r>
      <w:r w:rsidR="00821336">
        <w:t xml:space="preserve"> die Lernenden im Lernprozess miteinzubinden und fördern so Selbstbewusstsein und Lernmotivation.</w:t>
      </w:r>
    </w:p>
    <w:p w14:paraId="68E75A94" w14:textId="2965660C" w:rsidR="004A1DD9" w:rsidRDefault="00242AA0" w:rsidP="003A3B15">
      <w:pPr>
        <w:pStyle w:val="AufzhlungPunkte"/>
      </w:pPr>
      <w:r>
        <w:rPr>
          <w:noProof/>
          <w:bdr w:val="none" w:sz="0" w:space="0" w:color="auto"/>
        </w:rPr>
        <w:lastRenderedPageBreak/>
        <mc:AlternateContent>
          <mc:Choice Requires="wps">
            <w:drawing>
              <wp:anchor distT="0" distB="0" distL="114300" distR="114300" simplePos="0" relativeHeight="251664384" behindDoc="1" locked="0" layoutInCell="1" allowOverlap="1" wp14:anchorId="0FFA086E" wp14:editId="56B93EA0">
                <wp:simplePos x="0" y="0"/>
                <wp:positionH relativeFrom="column">
                  <wp:posOffset>471805</wp:posOffset>
                </wp:positionH>
                <wp:positionV relativeFrom="paragraph">
                  <wp:posOffset>3758565</wp:posOffset>
                </wp:positionV>
                <wp:extent cx="5010150" cy="323850"/>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23850"/>
                        </a:xfrm>
                        <a:prstGeom prst="rect">
                          <a:avLst/>
                        </a:prstGeom>
                        <a:solidFill>
                          <a:srgbClr val="FFFFFF"/>
                        </a:solidFill>
                        <a:ln w="9525">
                          <a:noFill/>
                          <a:miter lim="800000"/>
                          <a:headEnd/>
                          <a:tailEnd/>
                        </a:ln>
                      </wps:spPr>
                      <wps:txbx>
                        <w:txbxContent>
                          <w:p w14:paraId="112B2CAA" w14:textId="4CAAE82D" w:rsidR="00E641B1" w:rsidRPr="0079647B" w:rsidRDefault="00E641B1" w:rsidP="00F602F8">
                            <w:pPr>
                              <w:pStyle w:val="Flietext"/>
                              <w:spacing w:line="360" w:lineRule="auto"/>
                              <w:rPr>
                                <w:i/>
                                <w:sz w:val="20"/>
                                <w:szCs w:val="20"/>
                              </w:rPr>
                            </w:pPr>
                            <w:r w:rsidRPr="0079647B">
                              <w:rPr>
                                <w:i/>
                                <w:sz w:val="20"/>
                                <w:szCs w:val="20"/>
                              </w:rPr>
                              <w:t xml:space="preserve">Methoden lebendigen Lernens </w:t>
                            </w:r>
                            <w:r>
                              <w:rPr>
                                <w:i/>
                                <w:sz w:val="20"/>
                                <w:szCs w:val="20"/>
                              </w:rPr>
                              <w:t xml:space="preserve">(Bild: </w:t>
                            </w:r>
                            <w:r w:rsidRPr="0079647B">
                              <w:rPr>
                                <w:i/>
                                <w:sz w:val="20"/>
                                <w:szCs w:val="20"/>
                              </w:rPr>
                              <w:t xml:space="preserve">Rosemarie Klein, </w:t>
                            </w:r>
                            <w:r>
                              <w:rPr>
                                <w:i/>
                                <w:sz w:val="20"/>
                                <w:szCs w:val="20"/>
                              </w:rPr>
                              <w:t>CC BY-SA</w:t>
                            </w:r>
                            <w:r w:rsidRPr="0079647B">
                              <w:rPr>
                                <w:i/>
                                <w:sz w:val="20"/>
                                <w:szCs w:val="20"/>
                              </w:rPr>
                              <w:t xml:space="preserve"> 4.0</w:t>
                            </w:r>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A086E" id="Text Box 5" o:spid="_x0000_s1027" type="#_x0000_t202" style="position:absolute;left:0;text-align:left;margin-left:37.15pt;margin-top:295.95pt;width:394.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" stroked="f">
                <v:textbox>
                  <w:txbxContent>
                    <w:p w14:paraId="112B2CAA" w14:textId="4CAAE82D" w:rsidR="00E641B1" w:rsidRPr="0079647B" w:rsidRDefault="00E641B1" w:rsidP="00F602F8">
                      <w:pPr>
                        <w:pStyle w:val="Flietext"/>
                        <w:spacing w:line="360" w:lineRule="auto"/>
                        <w:rPr>
                          <w:i/>
                          <w:sz w:val="20"/>
                          <w:szCs w:val="20"/>
                        </w:rPr>
                      </w:pPr>
                      <w:r w:rsidRPr="0079647B">
                        <w:rPr>
                          <w:i/>
                          <w:sz w:val="20"/>
                          <w:szCs w:val="20"/>
                        </w:rPr>
                        <w:t xml:space="preserve">Methoden lebendigen Lernens </w:t>
                      </w:r>
                      <w:r>
                        <w:rPr>
                          <w:i/>
                          <w:sz w:val="20"/>
                          <w:szCs w:val="20"/>
                        </w:rPr>
                        <w:t xml:space="preserve">(Bild: </w:t>
                      </w:r>
                      <w:r w:rsidRPr="0079647B">
                        <w:rPr>
                          <w:i/>
                          <w:sz w:val="20"/>
                          <w:szCs w:val="20"/>
                        </w:rPr>
                        <w:t xml:space="preserve">Rosemarie Klein, </w:t>
                      </w:r>
                      <w:r>
                        <w:rPr>
                          <w:i/>
                          <w:sz w:val="20"/>
                          <w:szCs w:val="20"/>
                        </w:rPr>
                        <w:t>CC BY-SA</w:t>
                      </w:r>
                      <w:r w:rsidRPr="0079647B">
                        <w:rPr>
                          <w:i/>
                          <w:sz w:val="20"/>
                          <w:szCs w:val="20"/>
                        </w:rPr>
                        <w:t xml:space="preserve"> 4.0</w:t>
                      </w:r>
                      <w:r>
                        <w:rPr>
                          <w:i/>
                          <w:sz w:val="20"/>
                          <w:szCs w:val="20"/>
                        </w:rPr>
                        <w:t>)</w:t>
                      </w:r>
                    </w:p>
                  </w:txbxContent>
                </v:textbox>
                <w10:wrap type="topAndBottom"/>
              </v:shape>
            </w:pict>
          </mc:Fallback>
        </mc:AlternateContent>
      </w:r>
      <w:r w:rsidRPr="00242AA0">
        <w:rPr>
          <w:i/>
          <w:noProof/>
        </w:rPr>
        <w:drawing>
          <wp:anchor distT="0" distB="0" distL="114300" distR="114300" simplePos="0" relativeHeight="251671552" behindDoc="0" locked="0" layoutInCell="1" allowOverlap="1" wp14:anchorId="4A60323A" wp14:editId="0434B1F0">
            <wp:simplePos x="0" y="0"/>
            <wp:positionH relativeFrom="column">
              <wp:posOffset>471805</wp:posOffset>
            </wp:positionH>
            <wp:positionV relativeFrom="paragraph">
              <wp:posOffset>0</wp:posOffset>
            </wp:positionV>
            <wp:extent cx="4851400" cy="3638550"/>
            <wp:effectExtent l="0" t="0" r="6350" b="0"/>
            <wp:wrapSquare wrapText="bothSides"/>
            <wp:docPr id="8" name="Grafik 8" descr="O:\AB Portale\wb web\Materialien Content\02Serien Dossiers\Geringqualifizierte\neu von Sharepoint BST 19.4.16\Kathrin\GQ_LBA_HA_Lernbeweglichk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B Portale\wb web\Materialien Content\02Serien Dossiers\Geringqualifizierte\neu von Sharepoint BST 19.4.16\Kathrin\GQ_LBA_HA_Lernbeweglichke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1400" cy="363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42C" w:rsidRPr="00905E2C">
        <w:rPr>
          <w:i/>
        </w:rPr>
        <w:t xml:space="preserve">Angebote für </w:t>
      </w:r>
      <w:r w:rsidR="0001142C" w:rsidRPr="008856A6">
        <w:rPr>
          <w:b/>
          <w:i/>
        </w:rPr>
        <w:t>kooperatives Lernen</w:t>
      </w:r>
      <w:r w:rsidR="004A1DD9">
        <w:t xml:space="preserve">: </w:t>
      </w:r>
      <w:r w:rsidR="009569C8" w:rsidRPr="009C5CEC">
        <w:t>Durch Methoden wie</w:t>
      </w:r>
      <w:r w:rsidR="009569C8">
        <w:rPr>
          <w:b/>
          <w:i/>
        </w:rPr>
        <w:t xml:space="preserve"> </w:t>
      </w:r>
      <w:r w:rsidR="005E7BE5">
        <w:t xml:space="preserve">z.B. </w:t>
      </w:r>
      <w:r w:rsidR="004A1DD9" w:rsidRPr="00D63C74">
        <w:rPr>
          <w:b/>
        </w:rPr>
        <w:t>Projektarbeit</w:t>
      </w:r>
      <w:r w:rsidR="00C931B9">
        <w:t xml:space="preserve">, </w:t>
      </w:r>
      <w:r w:rsidR="0001142C" w:rsidRPr="00D63C74">
        <w:rPr>
          <w:b/>
        </w:rPr>
        <w:t>Stationenlernen</w:t>
      </w:r>
      <w:r w:rsidR="00D63C74">
        <w:t xml:space="preserve"> </w:t>
      </w:r>
      <w:r w:rsidR="009569C8">
        <w:t xml:space="preserve">und </w:t>
      </w:r>
      <w:r w:rsidR="005E7BE5" w:rsidRPr="00D63C74">
        <w:rPr>
          <w:b/>
        </w:rPr>
        <w:t xml:space="preserve">Café </w:t>
      </w:r>
      <w:proofErr w:type="spellStart"/>
      <w:r w:rsidR="005E7BE5" w:rsidRPr="00D63C74">
        <w:rPr>
          <w:b/>
        </w:rPr>
        <w:t>Mondial</w:t>
      </w:r>
      <w:proofErr w:type="spellEnd"/>
      <w:r w:rsidR="005E7BE5" w:rsidRPr="00D63C74">
        <w:t xml:space="preserve"> </w:t>
      </w:r>
      <w:r w:rsidR="009569C8">
        <w:t xml:space="preserve">fördern Sie </w:t>
      </w:r>
      <w:r w:rsidR="00765D9F">
        <w:t xml:space="preserve">bei Ihren Teilnehmenden, ihre </w:t>
      </w:r>
      <w:r w:rsidR="009569C8">
        <w:t>unterschiedlichen Sichtweisen auf das Thema</w:t>
      </w:r>
      <w:r w:rsidR="00765D9F">
        <w:t xml:space="preserve"> zu nutzen</w:t>
      </w:r>
      <w:r>
        <w:t>. Sie</w:t>
      </w:r>
      <w:r w:rsidR="009569C8">
        <w:t xml:space="preserve"> regen Perspek</w:t>
      </w:r>
      <w:r w:rsidR="00765D9F">
        <w:t>t</w:t>
      </w:r>
      <w:r w:rsidR="009569C8">
        <w:t>iv</w:t>
      </w:r>
      <w:r w:rsidR="00765D9F">
        <w:t>en</w:t>
      </w:r>
      <w:r w:rsidR="009569C8">
        <w:t xml:space="preserve">wechsel </w:t>
      </w:r>
      <w:r w:rsidR="00765D9F">
        <w:t xml:space="preserve">unter den Teilnehmenden </w:t>
      </w:r>
      <w:r w:rsidR="009569C8">
        <w:t xml:space="preserve">an </w:t>
      </w:r>
      <w:r w:rsidR="00765D9F">
        <w:t>und ermöglichen ihnen zu erfahren, wie lebendig und anregend das Lernen miteinander sein kann.</w:t>
      </w:r>
    </w:p>
    <w:p w14:paraId="0E8ADFAC" w14:textId="608DF6F6" w:rsidR="004A1DD9" w:rsidRDefault="004A1DD9" w:rsidP="00242AA0">
      <w:pPr>
        <w:pStyle w:val="AufzhlungPunkte"/>
      </w:pPr>
      <w:r w:rsidRPr="00905E2C">
        <w:rPr>
          <w:i/>
        </w:rPr>
        <w:t>Zeiten und Räume zur Reflexion</w:t>
      </w:r>
      <w:r w:rsidR="004262B8" w:rsidRPr="00905E2C">
        <w:rPr>
          <w:i/>
        </w:rPr>
        <w:t>, zum Nachdenken</w:t>
      </w:r>
      <w:r w:rsidR="00765D9F">
        <w:rPr>
          <w:i/>
        </w:rPr>
        <w:t xml:space="preserve">: </w:t>
      </w:r>
      <w:r w:rsidR="00765D9F">
        <w:t xml:space="preserve">Wenn Sie ein neues Thema eröffnen, können Sie </w:t>
      </w:r>
      <w:r w:rsidR="0001142C">
        <w:t>z.B.</w:t>
      </w:r>
      <w:r w:rsidR="00765D9F">
        <w:t xml:space="preserve"> anregen</w:t>
      </w:r>
      <w:r w:rsidR="005E7BE5">
        <w:t xml:space="preserve">: </w:t>
      </w:r>
      <w:r w:rsidR="0001142C">
        <w:t xml:space="preserve">„Denken Sie über diese Frage mal zwei Minuten ruhig für sich nach, bitte.“ </w:t>
      </w:r>
      <w:r w:rsidR="00765D9F">
        <w:t>N</w:t>
      </w:r>
      <w:r w:rsidR="0001142C">
        <w:t>ach einem fachlichen Impuls</w:t>
      </w:r>
      <w:r w:rsidR="00765D9F">
        <w:t xml:space="preserve"> hat es sich bewährt, vor der Disku</w:t>
      </w:r>
      <w:r w:rsidR="009C5CEC">
        <w:t>ssion eine Murmelphase anzubieten</w:t>
      </w:r>
      <w:r w:rsidR="0001142C">
        <w:t>: „Murmeln Sie über diesen Aspekt drei Minuten mit Ihrem Tischnachbarn. Danach sprechen wir gemeinsam über Ihre Fragen, Anregungen, Erfahrungen, Widerspruch.“</w:t>
      </w:r>
      <w:r w:rsidR="00765D9F">
        <w:t xml:space="preserve"> Sie zeigen Ihren Teilnehmenden so nicht nur ihr Zutrauen in ihre Lernkompetenzen, sie geben Ihnen die Erfahrung, dass Lernen </w:t>
      </w:r>
      <w:r w:rsidR="00F06920">
        <w:t>die Ruhe des Innehaltens braucht.</w:t>
      </w:r>
    </w:p>
    <w:p w14:paraId="34D6ADA8" w14:textId="77777777" w:rsidR="00C931B9" w:rsidRDefault="00C931B9">
      <w:pPr>
        <w:pBdr>
          <w:top w:val="none" w:sz="0" w:space="0" w:color="auto"/>
          <w:left w:val="none" w:sz="0" w:space="0" w:color="auto"/>
          <w:bottom w:val="none" w:sz="0" w:space="0" w:color="auto"/>
          <w:right w:val="none" w:sz="0" w:space="0" w:color="auto"/>
          <w:between w:val="none" w:sz="0" w:space="0" w:color="auto"/>
          <w:bar w:val="none" w:sz="0" w:color="auto"/>
        </w:pBdr>
        <w:rPr>
          <w:rStyle w:val="IntensiveHervorhebung"/>
          <w:rFonts w:ascii="Arial" w:hAnsi="Arial" w:cs="Arial"/>
          <w:bCs w:val="0"/>
          <w:i w:val="0"/>
          <w:iCs w:val="0"/>
          <w:color w:val="000000"/>
          <w:sz w:val="24"/>
          <w:szCs w:val="24"/>
        </w:rPr>
      </w:pPr>
      <w:r>
        <w:rPr>
          <w:rStyle w:val="IntensiveHervorhebung"/>
          <w:b w:val="0"/>
          <w:bCs w:val="0"/>
          <w:i w:val="0"/>
          <w:iCs w:val="0"/>
          <w:color w:val="000000"/>
        </w:rPr>
        <w:br w:type="page"/>
      </w:r>
    </w:p>
    <w:p w14:paraId="303E47D8" w14:textId="269ECACC" w:rsidR="00C931B9" w:rsidRDefault="00C931B9" w:rsidP="00C931B9">
      <w:pPr>
        <w:pStyle w:val="Zwischenberschrift"/>
        <w:rPr>
          <w:rStyle w:val="IntensiveHervorhebung"/>
          <w:b/>
          <w:bCs w:val="0"/>
          <w:i w:val="0"/>
          <w:iCs w:val="0"/>
          <w:color w:val="000000"/>
        </w:rPr>
      </w:pPr>
      <w:bookmarkStart w:id="0" w:name="_GoBack"/>
      <w:bookmarkEnd w:id="0"/>
      <w:r>
        <w:rPr>
          <w:rStyle w:val="IntensiveHervorhebung"/>
          <w:b/>
          <w:bCs w:val="0"/>
          <w:i w:val="0"/>
          <w:iCs w:val="0"/>
          <w:color w:val="000000"/>
        </w:rPr>
        <w:lastRenderedPageBreak/>
        <w:t>Tipp</w:t>
      </w:r>
    </w:p>
    <w:p w14:paraId="4A141AA2" w14:textId="3041CEE1" w:rsidR="00353070" w:rsidRPr="003A3B15" w:rsidRDefault="009C5CEC" w:rsidP="003A3B15">
      <w:pPr>
        <w:pStyle w:val="Flietext"/>
        <w:rPr>
          <w:rStyle w:val="IntensiveHervorhebung"/>
          <w:b w:val="0"/>
          <w:bCs w:val="0"/>
          <w:i w:val="0"/>
          <w:iCs w:val="0"/>
          <w:color w:val="000000"/>
        </w:rPr>
      </w:pPr>
      <w:r w:rsidRPr="003A3B15">
        <w:rPr>
          <w:rStyle w:val="IntensiveHervorhebung"/>
          <w:b w:val="0"/>
          <w:bCs w:val="0"/>
          <w:i w:val="0"/>
          <w:iCs w:val="0"/>
          <w:color w:val="000000"/>
        </w:rPr>
        <w:t xml:space="preserve">Machen Sie die Förderung von Lernbeweglichkeit zu einem Lernziel. </w:t>
      </w:r>
      <w:r w:rsidR="00353070" w:rsidRPr="003A3B15">
        <w:rPr>
          <w:rStyle w:val="IntensiveHervorhebung"/>
          <w:b w:val="0"/>
          <w:bCs w:val="0"/>
          <w:i w:val="0"/>
          <w:iCs w:val="0"/>
          <w:color w:val="000000"/>
        </w:rPr>
        <w:t>Legen Sie sich</w:t>
      </w:r>
      <w:r w:rsidRPr="003A3B15">
        <w:rPr>
          <w:rStyle w:val="IntensiveHervorhebung"/>
          <w:b w:val="0"/>
          <w:bCs w:val="0"/>
          <w:i w:val="0"/>
          <w:iCs w:val="0"/>
          <w:color w:val="000000"/>
        </w:rPr>
        <w:t xml:space="preserve"> dafür</w:t>
      </w:r>
      <w:r w:rsidR="00353070" w:rsidRPr="003A3B15">
        <w:rPr>
          <w:rStyle w:val="IntensiveHervorhebung"/>
          <w:b w:val="0"/>
          <w:bCs w:val="0"/>
          <w:i w:val="0"/>
          <w:iCs w:val="0"/>
          <w:color w:val="000000"/>
        </w:rPr>
        <w:t xml:space="preserve"> Ihre eigene Mindmap aktivierender Methoden an. Das erleichtert die Unterrichtsvorbereitung enorm!</w:t>
      </w:r>
    </w:p>
    <w:p w14:paraId="004E9E32" w14:textId="397C31FF" w:rsidR="00E33E28" w:rsidRPr="005E7BE5" w:rsidRDefault="00821336" w:rsidP="003A3B15">
      <w:pPr>
        <w:pStyle w:val="Zwischenberschrift"/>
      </w:pPr>
      <w:r>
        <w:t>Lernbeweglichkeit fördern - a</w:t>
      </w:r>
      <w:r w:rsidR="0070456F">
        <w:t>usgewählte</w:t>
      </w:r>
      <w:r w:rsidR="005E7BE5">
        <w:t xml:space="preserve"> praxisbewährte Beispiele</w:t>
      </w:r>
    </w:p>
    <w:p w14:paraId="63178727" w14:textId="7FC9C9E3" w:rsidR="00C000F6" w:rsidRPr="0070456F" w:rsidRDefault="00C000F6" w:rsidP="003A3B15">
      <w:pPr>
        <w:pStyle w:val="Flietext"/>
        <w:rPr>
          <w:rStyle w:val="Hervorhebung"/>
        </w:rPr>
      </w:pPr>
      <w:r w:rsidRPr="0070456F">
        <w:rPr>
          <w:rStyle w:val="Hervorhebung"/>
        </w:rPr>
        <w:t xml:space="preserve">Vorwissen aktivieren </w:t>
      </w:r>
      <w:r w:rsidR="005E7BE5" w:rsidRPr="0070456F">
        <w:rPr>
          <w:rStyle w:val="Hervorhebung"/>
        </w:rPr>
        <w:t>oder Ergebnis</w:t>
      </w:r>
      <w:r w:rsidR="0070456F" w:rsidRPr="0070456F">
        <w:rPr>
          <w:rStyle w:val="Hervorhebung"/>
        </w:rPr>
        <w:t>se</w:t>
      </w:r>
      <w:r w:rsidR="005E7BE5" w:rsidRPr="0070456F">
        <w:rPr>
          <w:rStyle w:val="Hervorhebung"/>
        </w:rPr>
        <w:t xml:space="preserve"> sichern </w:t>
      </w:r>
      <w:r w:rsidR="006916CC" w:rsidRPr="0070456F">
        <w:rPr>
          <w:rStyle w:val="Hervorhebung"/>
        </w:rPr>
        <w:t>am Beispiel</w:t>
      </w:r>
      <w:r w:rsidRPr="0070456F">
        <w:rPr>
          <w:rStyle w:val="Hervorhebung"/>
        </w:rPr>
        <w:t xml:space="preserve"> der Methode Wörtertopf:</w:t>
      </w:r>
    </w:p>
    <w:p w14:paraId="18A8DCB5" w14:textId="0B430EE3" w:rsidR="0070456F" w:rsidRPr="00F91951" w:rsidRDefault="00C000F6" w:rsidP="003A3B15">
      <w:pPr>
        <w:pStyle w:val="Flietext"/>
        <w:rPr>
          <w:szCs w:val="24"/>
        </w:rPr>
      </w:pPr>
      <w:r w:rsidRPr="00F91951">
        <w:rPr>
          <w:szCs w:val="24"/>
        </w:rPr>
        <w:t xml:space="preserve">Die Lernenden schreiben zu einem Thema, das bearbeitet werden soll, assoziativ Begriffe auf Metaplankarten, die sie mit dem Thema verbinden (z. B. jeder </w:t>
      </w:r>
      <w:r w:rsidR="00C931B9">
        <w:rPr>
          <w:szCs w:val="24"/>
        </w:rPr>
        <w:t>drei</w:t>
      </w:r>
      <w:r w:rsidRPr="00F91951">
        <w:rPr>
          <w:szCs w:val="24"/>
        </w:rPr>
        <w:t xml:space="preserve"> Karten). Diese Karten werden von dem Lehrenden eingesammelt, durchgemischt und verdeckt wieder in gleichmäßiger Anzahl an zuvor gebildete Kleingruppen ausgeteilt. Diese stellen sich in verschieden Ecken des Raumes und jeder zieht nacheinander eine Karte. Gemeinsam werden die jeweiligen Begriffe im Zusammenhang mit dem Lernthema besprochen und sich damit</w:t>
      </w:r>
      <w:r w:rsidR="00FD4147">
        <w:rPr>
          <w:szCs w:val="24"/>
        </w:rPr>
        <w:t xml:space="preserve"> darauf</w:t>
      </w:r>
      <w:r w:rsidRPr="00F91951">
        <w:rPr>
          <w:szCs w:val="24"/>
        </w:rPr>
        <w:t xml:space="preserve"> eingestimmt</w:t>
      </w:r>
      <w:r w:rsidR="00C931B9">
        <w:rPr>
          <w:szCs w:val="24"/>
        </w:rPr>
        <w:t>.</w:t>
      </w:r>
    </w:p>
    <w:p w14:paraId="2127BF15" w14:textId="77777777" w:rsidR="00764DA9" w:rsidRPr="0070456F" w:rsidRDefault="00C000F6" w:rsidP="003A3B15">
      <w:pPr>
        <w:pStyle w:val="Flietext"/>
        <w:rPr>
          <w:szCs w:val="24"/>
        </w:rPr>
      </w:pPr>
      <w:r w:rsidRPr="00F91951">
        <w:rPr>
          <w:szCs w:val="24"/>
        </w:rPr>
        <w:t xml:space="preserve">Dieselbe Methode Wörtertopf kann dazu benutzt werden, um nach einer Lerneinheit spielerisch </w:t>
      </w:r>
      <w:r w:rsidR="006916CC" w:rsidRPr="00F91951">
        <w:rPr>
          <w:szCs w:val="24"/>
        </w:rPr>
        <w:t>Lernergebnisse zu vergewissern. Zunächst äußert sich jeweils der Einzelne, bei Bedarf ergänzt die Kleingruppe.</w:t>
      </w:r>
    </w:p>
    <w:p w14:paraId="0CDA4C5E" w14:textId="77777777" w:rsidR="00764DA9" w:rsidRPr="0070456F" w:rsidRDefault="002F7BEB" w:rsidP="003A3B15">
      <w:pPr>
        <w:pStyle w:val="Flietext"/>
        <w:rPr>
          <w:rStyle w:val="Hervorhebung"/>
        </w:rPr>
      </w:pPr>
      <w:r w:rsidRPr="0070456F">
        <w:rPr>
          <w:rStyle w:val="Hervorhebung"/>
        </w:rPr>
        <w:t xml:space="preserve">Vorwissen aktivieren oder Lernergebnis einschätzen am </w:t>
      </w:r>
      <w:r w:rsidR="00764DA9" w:rsidRPr="0070456F">
        <w:rPr>
          <w:rStyle w:val="Hervorhebung"/>
        </w:rPr>
        <w:t xml:space="preserve">Beispiel </w:t>
      </w:r>
      <w:r w:rsidR="0070456F">
        <w:rPr>
          <w:rStyle w:val="Hervorhebung"/>
        </w:rPr>
        <w:t xml:space="preserve">von </w:t>
      </w:r>
      <w:r w:rsidR="00764DA9" w:rsidRPr="0070456F">
        <w:rPr>
          <w:rStyle w:val="Hervorhebung"/>
        </w:rPr>
        <w:t>Aufstellungen:</w:t>
      </w:r>
    </w:p>
    <w:p w14:paraId="2DB06D6B" w14:textId="46A5882C" w:rsidR="002F7BEB" w:rsidRPr="0070456F" w:rsidRDefault="00764DA9" w:rsidP="003A3B15">
      <w:pPr>
        <w:pStyle w:val="Flietext"/>
        <w:rPr>
          <w:szCs w:val="24"/>
        </w:rPr>
      </w:pPr>
      <w:r w:rsidRPr="00F91951">
        <w:rPr>
          <w:szCs w:val="24"/>
        </w:rPr>
        <w:t xml:space="preserve">Auch </w:t>
      </w:r>
      <w:r w:rsidR="004D0F42">
        <w:rPr>
          <w:szCs w:val="24"/>
        </w:rPr>
        <w:t>„</w:t>
      </w:r>
      <w:r w:rsidRPr="00F91951">
        <w:rPr>
          <w:szCs w:val="24"/>
        </w:rPr>
        <w:t>Aufstellungsübungen</w:t>
      </w:r>
      <w:r w:rsidR="004D0F42">
        <w:rPr>
          <w:szCs w:val="24"/>
        </w:rPr>
        <w:t>“</w:t>
      </w:r>
      <w:r w:rsidRPr="00F91951">
        <w:rPr>
          <w:szCs w:val="24"/>
        </w:rPr>
        <w:t xml:space="preserve"> können zur Vergewisserung und individuellen Einschätzung von Vorwissen oder Wissenszuwachs </w:t>
      </w:r>
      <w:r w:rsidR="002F7BEB" w:rsidRPr="00F91951">
        <w:rPr>
          <w:szCs w:val="24"/>
        </w:rPr>
        <w:t xml:space="preserve">dienen. Dazu </w:t>
      </w:r>
      <w:r w:rsidR="004D0F42">
        <w:rPr>
          <w:szCs w:val="24"/>
        </w:rPr>
        <w:t xml:space="preserve">stellen sich </w:t>
      </w:r>
      <w:r w:rsidR="002F7BEB" w:rsidRPr="00F91951">
        <w:rPr>
          <w:szCs w:val="24"/>
        </w:rPr>
        <w:t xml:space="preserve">die Lernenden </w:t>
      </w:r>
      <w:r w:rsidR="004D0F42">
        <w:rPr>
          <w:szCs w:val="24"/>
        </w:rPr>
        <w:t>entlang</w:t>
      </w:r>
      <w:r w:rsidR="002F7BEB" w:rsidRPr="00F91951">
        <w:rPr>
          <w:szCs w:val="24"/>
        </w:rPr>
        <w:t xml:space="preserve"> einer imaginären Linie im Raum zwischen „</w:t>
      </w:r>
      <w:r w:rsidR="00CE03CC">
        <w:rPr>
          <w:szCs w:val="24"/>
        </w:rPr>
        <w:t xml:space="preserve">Darüber weiß ich bereits </w:t>
      </w:r>
      <w:r w:rsidR="002F7BEB" w:rsidRPr="00F91951">
        <w:rPr>
          <w:szCs w:val="24"/>
        </w:rPr>
        <w:t>viel“ und „</w:t>
      </w:r>
      <w:r w:rsidR="00CE03CC">
        <w:rPr>
          <w:szCs w:val="24"/>
        </w:rPr>
        <w:t xml:space="preserve">Darüber weiß ich eher </w:t>
      </w:r>
      <w:r w:rsidR="002F7BEB" w:rsidRPr="00F91951">
        <w:rPr>
          <w:szCs w:val="24"/>
        </w:rPr>
        <w:t>wenig“</w:t>
      </w:r>
      <w:r w:rsidR="004D0F42">
        <w:rPr>
          <w:szCs w:val="24"/>
        </w:rPr>
        <w:t xml:space="preserve"> auf.</w:t>
      </w:r>
      <w:r w:rsidR="00CE03CC">
        <w:rPr>
          <w:szCs w:val="24"/>
        </w:rPr>
        <w:t xml:space="preserve"> In Bezug auf die Einschätzung des Wissenszuwachses können die Pole lauten: „</w:t>
      </w:r>
      <w:r w:rsidR="00CA2A96">
        <w:rPr>
          <w:szCs w:val="24"/>
        </w:rPr>
        <w:t xml:space="preserve">Ich habe keine Fragen zum Thema mehr“ und „Ich habe noch viele offenen Fragen.“ </w:t>
      </w:r>
      <w:proofErr w:type="gramStart"/>
      <w:r w:rsidR="00CA2A96">
        <w:rPr>
          <w:szCs w:val="24"/>
        </w:rPr>
        <w:t>Die</w:t>
      </w:r>
      <w:proofErr w:type="gramEnd"/>
      <w:r w:rsidR="00CA2A96">
        <w:rPr>
          <w:szCs w:val="24"/>
        </w:rPr>
        <w:t xml:space="preserve"> Kursleitende läuft die imaginäre Linie ab und lädt die Teilnehmenden zu kurzen Kommentierungen ein, warum wer sich wohin gestellt hat. Sie gibt abschließend einen Hinweis, was mit dem Aufstellungsergebnis nun passiert.</w:t>
      </w:r>
    </w:p>
    <w:p w14:paraId="64626F58" w14:textId="77777777" w:rsidR="002F7BEB" w:rsidRPr="00D63C74" w:rsidRDefault="002F7BEB" w:rsidP="003A3B15">
      <w:pPr>
        <w:pStyle w:val="Flietext"/>
        <w:rPr>
          <w:rStyle w:val="Hervorhebung"/>
          <w:szCs w:val="24"/>
        </w:rPr>
      </w:pPr>
      <w:r w:rsidRPr="00D63C74">
        <w:rPr>
          <w:rStyle w:val="Hervorhebung"/>
          <w:szCs w:val="24"/>
        </w:rPr>
        <w:t>Erarbeiten von neuem Lernstoff am Beispiel der Methode Hearing:</w:t>
      </w:r>
    </w:p>
    <w:p w14:paraId="2F567C21" w14:textId="35D8125A" w:rsidR="0070456F" w:rsidRDefault="002F7BEB" w:rsidP="003A3B15">
      <w:pPr>
        <w:pStyle w:val="Flietext"/>
        <w:rPr>
          <w:szCs w:val="24"/>
        </w:rPr>
      </w:pPr>
      <w:r w:rsidRPr="00F91951">
        <w:rPr>
          <w:szCs w:val="24"/>
        </w:rPr>
        <w:t xml:space="preserve">Bei dieser Methode wird die Großgruppe in zwei Teilgruppen aufgeteilt: Eine Gruppe </w:t>
      </w:r>
      <w:r w:rsidR="004D0F42">
        <w:rPr>
          <w:szCs w:val="24"/>
        </w:rPr>
        <w:t xml:space="preserve">- </w:t>
      </w:r>
      <w:r w:rsidR="006B2E99" w:rsidRPr="00F91951">
        <w:rPr>
          <w:szCs w:val="24"/>
        </w:rPr>
        <w:t xml:space="preserve">die </w:t>
      </w:r>
      <w:r w:rsidR="004D0F42">
        <w:rPr>
          <w:szCs w:val="24"/>
        </w:rPr>
        <w:t>„</w:t>
      </w:r>
      <w:r w:rsidR="006B2E99" w:rsidRPr="00F91951">
        <w:rPr>
          <w:szCs w:val="24"/>
        </w:rPr>
        <w:t>Frager</w:t>
      </w:r>
      <w:r w:rsidR="004D0F42">
        <w:rPr>
          <w:szCs w:val="24"/>
        </w:rPr>
        <w:t>“ -</w:t>
      </w:r>
      <w:r w:rsidR="006B2E99" w:rsidRPr="00F91951">
        <w:rPr>
          <w:szCs w:val="24"/>
        </w:rPr>
        <w:t xml:space="preserve"> </w:t>
      </w:r>
      <w:r w:rsidR="004D0F42">
        <w:rPr>
          <w:szCs w:val="24"/>
        </w:rPr>
        <w:t>widmet</w:t>
      </w:r>
      <w:r w:rsidR="004D0F42" w:rsidRPr="00F91951">
        <w:rPr>
          <w:szCs w:val="24"/>
        </w:rPr>
        <w:t xml:space="preserve"> </w:t>
      </w:r>
      <w:r w:rsidRPr="00F91951">
        <w:rPr>
          <w:szCs w:val="24"/>
        </w:rPr>
        <w:t xml:space="preserve">sich </w:t>
      </w:r>
      <w:r w:rsidR="006B2E99" w:rsidRPr="00F91951">
        <w:rPr>
          <w:szCs w:val="24"/>
        </w:rPr>
        <w:t>einem neuen Lernthema</w:t>
      </w:r>
      <w:r w:rsidR="004D0F42">
        <w:rPr>
          <w:szCs w:val="24"/>
        </w:rPr>
        <w:t xml:space="preserve">, indem sie </w:t>
      </w:r>
      <w:r w:rsidR="006B2E99" w:rsidRPr="00F91951">
        <w:rPr>
          <w:szCs w:val="24"/>
        </w:rPr>
        <w:t>Fragestellungen</w:t>
      </w:r>
      <w:r w:rsidR="004D0F42">
        <w:rPr>
          <w:szCs w:val="24"/>
        </w:rPr>
        <w:t xml:space="preserve"> erarbeitet</w:t>
      </w:r>
      <w:r w:rsidR="006B2E99" w:rsidRPr="00F91951">
        <w:rPr>
          <w:szCs w:val="24"/>
        </w:rPr>
        <w:t xml:space="preserve">, deren Antworten zum Thema wissenswert </w:t>
      </w:r>
      <w:r w:rsidR="004D0F42">
        <w:rPr>
          <w:szCs w:val="24"/>
        </w:rPr>
        <w:t>sein können</w:t>
      </w:r>
      <w:r w:rsidR="006B2E99" w:rsidRPr="00F91951">
        <w:rPr>
          <w:szCs w:val="24"/>
        </w:rPr>
        <w:t xml:space="preserve">. Die zweite Teilgruppe </w:t>
      </w:r>
      <w:r w:rsidR="004D0F42">
        <w:rPr>
          <w:szCs w:val="24"/>
        </w:rPr>
        <w:t>bearbeitet</w:t>
      </w:r>
      <w:r w:rsidR="006B2E99" w:rsidRPr="00F91951">
        <w:rPr>
          <w:szCs w:val="24"/>
        </w:rPr>
        <w:t xml:space="preserve"> Texte</w:t>
      </w:r>
      <w:r w:rsidR="004D0F42">
        <w:rPr>
          <w:szCs w:val="24"/>
        </w:rPr>
        <w:t>. Die Gruppenmitglieder werden so</w:t>
      </w:r>
      <w:r w:rsidR="006B2E99" w:rsidRPr="00F91951">
        <w:rPr>
          <w:szCs w:val="24"/>
        </w:rPr>
        <w:t xml:space="preserve"> zu </w:t>
      </w:r>
      <w:r w:rsidR="004D0F42">
        <w:rPr>
          <w:szCs w:val="24"/>
        </w:rPr>
        <w:t>„</w:t>
      </w:r>
      <w:r w:rsidR="006B2E99" w:rsidRPr="00F91951">
        <w:rPr>
          <w:szCs w:val="24"/>
        </w:rPr>
        <w:t>Experten</w:t>
      </w:r>
      <w:r w:rsidR="004D0F42">
        <w:rPr>
          <w:szCs w:val="24"/>
        </w:rPr>
        <w:t>“</w:t>
      </w:r>
      <w:r w:rsidR="006B2E99" w:rsidRPr="00F91951">
        <w:rPr>
          <w:szCs w:val="24"/>
        </w:rPr>
        <w:t xml:space="preserve">, die ihr neues Wissen im Anschluss für die </w:t>
      </w:r>
      <w:r w:rsidR="004D0F42">
        <w:rPr>
          <w:szCs w:val="24"/>
        </w:rPr>
        <w:t>„</w:t>
      </w:r>
      <w:r w:rsidR="006B2E99" w:rsidRPr="00F91951">
        <w:rPr>
          <w:szCs w:val="24"/>
        </w:rPr>
        <w:t>Frager</w:t>
      </w:r>
      <w:r w:rsidR="004D0F42">
        <w:rPr>
          <w:szCs w:val="24"/>
        </w:rPr>
        <w:t>“</w:t>
      </w:r>
      <w:r w:rsidR="006B2E99" w:rsidRPr="00F91951">
        <w:rPr>
          <w:szCs w:val="24"/>
        </w:rPr>
        <w:t xml:space="preserve"> zur Verfügung stellen. </w:t>
      </w:r>
      <w:r w:rsidR="00FD4147">
        <w:rPr>
          <w:szCs w:val="24"/>
        </w:rPr>
        <w:t xml:space="preserve">Durch diese </w:t>
      </w:r>
      <w:r w:rsidR="00FD4147">
        <w:rPr>
          <w:szCs w:val="24"/>
        </w:rPr>
        <w:lastRenderedPageBreak/>
        <w:t xml:space="preserve">Zweiteilung </w:t>
      </w:r>
      <w:r w:rsidR="006B2E99" w:rsidRPr="00F91951">
        <w:rPr>
          <w:szCs w:val="24"/>
        </w:rPr>
        <w:t xml:space="preserve">sichern </w:t>
      </w:r>
      <w:r w:rsidR="00CA2A96">
        <w:rPr>
          <w:szCs w:val="24"/>
        </w:rPr>
        <w:t>Sie als Lehrende</w:t>
      </w:r>
      <w:r w:rsidR="006B2E99" w:rsidRPr="00F91951">
        <w:rPr>
          <w:szCs w:val="24"/>
        </w:rPr>
        <w:t xml:space="preserve"> ab, </w:t>
      </w:r>
      <w:r w:rsidR="00FD4147">
        <w:rPr>
          <w:szCs w:val="24"/>
        </w:rPr>
        <w:t>dass</w:t>
      </w:r>
      <w:r w:rsidR="00FD4147" w:rsidRPr="00F91951">
        <w:rPr>
          <w:szCs w:val="24"/>
        </w:rPr>
        <w:t xml:space="preserve"> </w:t>
      </w:r>
      <w:r w:rsidR="00FD4147">
        <w:rPr>
          <w:szCs w:val="24"/>
        </w:rPr>
        <w:t>die Teilnehmenden</w:t>
      </w:r>
      <w:r w:rsidR="006B2E99" w:rsidRPr="00F91951">
        <w:rPr>
          <w:szCs w:val="24"/>
        </w:rPr>
        <w:t xml:space="preserve"> alle Fragen beantworten können oder </w:t>
      </w:r>
      <w:r w:rsidR="00FD4147">
        <w:rPr>
          <w:szCs w:val="24"/>
        </w:rPr>
        <w:t xml:space="preserve">stellen fest, </w:t>
      </w:r>
      <w:r w:rsidR="004D0F42">
        <w:rPr>
          <w:szCs w:val="24"/>
        </w:rPr>
        <w:t xml:space="preserve">wo </w:t>
      </w:r>
      <w:r w:rsidR="006B2E99" w:rsidRPr="00F91951">
        <w:rPr>
          <w:szCs w:val="24"/>
        </w:rPr>
        <w:t>noch Lernbedarf besteht. Damit sind unterschiedliche Lernwege und lebendiges Lernen ermöglicht und die Unterstützung durch die Kleingruppe gesichert.</w:t>
      </w:r>
    </w:p>
    <w:p w14:paraId="23E4CCD1" w14:textId="7FB7FD15" w:rsidR="00E33E28" w:rsidRPr="00E76781" w:rsidRDefault="00FD4147" w:rsidP="003A3B15">
      <w:pPr>
        <w:pStyle w:val="Zwischenberschrift"/>
      </w:pPr>
      <w:r>
        <w:t xml:space="preserve">Lernbeweglichkeit: </w:t>
      </w:r>
      <w:r w:rsidR="00E33E28" w:rsidRPr="00E76781">
        <w:t xml:space="preserve">Pro &amp; Contra </w:t>
      </w:r>
    </w:p>
    <w:p w14:paraId="1B9224B3" w14:textId="336B8501" w:rsidR="00AC7A73" w:rsidRPr="00F91951" w:rsidRDefault="00AC7A73" w:rsidP="003A3B15">
      <w:pPr>
        <w:pStyle w:val="Flietext"/>
      </w:pPr>
      <w:r w:rsidRPr="00F91951">
        <w:t xml:space="preserve">Lernende, für die </w:t>
      </w:r>
      <w:r w:rsidR="0070456F">
        <w:t>lebendige und aktivierende</w:t>
      </w:r>
      <w:r w:rsidRPr="00F91951">
        <w:t xml:space="preserve"> Methoden noch ungewohnt sind, </w:t>
      </w:r>
      <w:r w:rsidR="0070456F">
        <w:t xml:space="preserve">deren Lernbeweglichkeit noch am Anfang steht, </w:t>
      </w:r>
      <w:r w:rsidRPr="00F91951">
        <w:t xml:space="preserve">brauchen </w:t>
      </w:r>
      <w:r w:rsidR="0070456F">
        <w:t xml:space="preserve">eine gute Anleitung und ggf. weitere </w:t>
      </w:r>
      <w:r w:rsidR="00FD4147">
        <w:t>Unterstützung im Lernprozess</w:t>
      </w:r>
      <w:r w:rsidRPr="00F91951">
        <w:t xml:space="preserve">. </w:t>
      </w:r>
      <w:r w:rsidR="0070456F">
        <w:t xml:space="preserve">Bei der Methode </w:t>
      </w:r>
      <w:r w:rsidR="004D0F42">
        <w:t>„</w:t>
      </w:r>
      <w:r w:rsidR="0070456F">
        <w:t>Wörtertopf</w:t>
      </w:r>
      <w:r w:rsidR="004D0F42">
        <w:t>“</w:t>
      </w:r>
      <w:r w:rsidR="0070456F">
        <w:t xml:space="preserve"> bspw. kann </w:t>
      </w:r>
      <w:r w:rsidR="00FD4147">
        <w:t xml:space="preserve">dazu </w:t>
      </w:r>
      <w:r w:rsidR="0070456F">
        <w:t xml:space="preserve">beim ersten </w:t>
      </w:r>
      <w:r w:rsidR="004D0F42">
        <w:t>M</w:t>
      </w:r>
      <w:r w:rsidR="0070456F">
        <w:t xml:space="preserve">al die Lehrperson die Begriffe vorbereiten und Begriffe wählen, die mit hoher Wahrscheinlichkeit anschlussfähig </w:t>
      </w:r>
      <w:r w:rsidR="004D0F42">
        <w:t xml:space="preserve">für </w:t>
      </w:r>
      <w:r w:rsidR="0070456F">
        <w:t>die Lernenden sind</w:t>
      </w:r>
      <w:r w:rsidRPr="00F91951">
        <w:t>.</w:t>
      </w:r>
    </w:p>
    <w:p w14:paraId="5096B866" w14:textId="3DAFF966" w:rsidR="00E33E28" w:rsidRPr="0070456F" w:rsidRDefault="000E50BD" w:rsidP="003A3B15">
      <w:pPr>
        <w:pStyle w:val="Flietext"/>
      </w:pPr>
      <w:r w:rsidRPr="00CA2A96">
        <w:t xml:space="preserve">Bei </w:t>
      </w:r>
      <w:r w:rsidR="00CA2A96" w:rsidRPr="00CA2A96">
        <w:t xml:space="preserve">der Ergebnissicherung in </w:t>
      </w:r>
      <w:r w:rsidR="004D0F42" w:rsidRPr="00CA2A96">
        <w:t>„</w:t>
      </w:r>
      <w:r w:rsidRPr="00CA2A96">
        <w:t>Aufstellungsübungen</w:t>
      </w:r>
      <w:r w:rsidR="004D0F42" w:rsidRPr="00CA2A96">
        <w:t>“</w:t>
      </w:r>
      <w:r w:rsidRPr="00CA2A96">
        <w:t xml:space="preserve"> </w:t>
      </w:r>
      <w:r w:rsidR="00CA2A96" w:rsidRPr="00CA2A96">
        <w:t>muss die Kursleitung</w:t>
      </w:r>
      <w:r w:rsidRPr="00CA2A96">
        <w:t xml:space="preserve"> </w:t>
      </w:r>
      <w:r w:rsidR="00CA2A96" w:rsidRPr="00CA2A96">
        <w:t xml:space="preserve">sensibel darauf achten, </w:t>
      </w:r>
      <w:r w:rsidRPr="00CA2A96">
        <w:t xml:space="preserve">dass sich der </w:t>
      </w:r>
      <w:r w:rsidR="00CA2A96" w:rsidRPr="00CA2A96">
        <w:t xml:space="preserve">und die </w:t>
      </w:r>
      <w:r w:rsidRPr="00CA2A96">
        <w:t>Einzelne nicht „vorgeführt“ fühlt oder er/sie zum Versager stilisiert wird. Hier braucht es Fingerspitzengefühl</w:t>
      </w:r>
      <w:r w:rsidR="00CA2A96" w:rsidRPr="00CA2A96">
        <w:t>.</w:t>
      </w:r>
    </w:p>
    <w:p w14:paraId="412D04EF" w14:textId="77777777" w:rsidR="00E33E28" w:rsidRDefault="00E33E28" w:rsidP="003A3B15">
      <w:pPr>
        <w:pStyle w:val="Zwischenberschrift"/>
      </w:pPr>
      <w:r w:rsidRPr="00E76781">
        <w:t>Weiterführende Hinweise</w:t>
      </w:r>
    </w:p>
    <w:p w14:paraId="789448D8" w14:textId="55A54470" w:rsidR="00EC0F52" w:rsidRPr="00E76781" w:rsidRDefault="00EC0F52" w:rsidP="00EC0F52">
      <w:pPr>
        <w:pStyle w:val="Flietext"/>
      </w:pPr>
      <w:r>
        <w:t>Viele der</w:t>
      </w:r>
      <w:r w:rsidRPr="00EC0F52">
        <w:t xml:space="preserve"> </w:t>
      </w:r>
      <w:r w:rsidRPr="0079647B">
        <w:t>Methoden lebendigen Lernens</w:t>
      </w:r>
      <w:r>
        <w:t xml:space="preserve"> finden Sie als Handlungsanleitung auf </w:t>
      </w:r>
      <w:proofErr w:type="spellStart"/>
      <w:r>
        <w:t>wb</w:t>
      </w:r>
      <w:proofErr w:type="spellEnd"/>
      <w:r>
        <w:t>-web.</w:t>
      </w:r>
    </w:p>
    <w:p w14:paraId="1A170907" w14:textId="77777777" w:rsidR="00E76781" w:rsidRPr="00825889" w:rsidRDefault="00AC7F82" w:rsidP="003A3B15">
      <w:pPr>
        <w:pStyle w:val="Flietext"/>
        <w:rPr>
          <w:b/>
        </w:rPr>
      </w:pPr>
      <w:proofErr w:type="spellStart"/>
      <w:r w:rsidRPr="00825889">
        <w:rPr>
          <w:b/>
        </w:rPr>
        <w:t>Munterrichtsmethoden</w:t>
      </w:r>
      <w:proofErr w:type="spellEnd"/>
    </w:p>
    <w:p w14:paraId="5A338902" w14:textId="00741901" w:rsidR="00E76781" w:rsidRDefault="002C25F8" w:rsidP="003A3B15">
      <w:pPr>
        <w:pStyle w:val="Flietext"/>
        <w:rPr>
          <w:szCs w:val="24"/>
        </w:rPr>
      </w:pPr>
      <w:r w:rsidRPr="002C25F8">
        <w:rPr>
          <w:rFonts w:eastAsiaTheme="minorHAnsi"/>
          <w:color w:val="262626"/>
          <w:szCs w:val="24"/>
          <w:bdr w:val="none" w:sz="0" w:space="0" w:color="auto"/>
          <w:lang w:eastAsia="en-US"/>
        </w:rPr>
        <w:t>Die</w:t>
      </w:r>
      <w:r w:rsidRPr="008856A6">
        <w:rPr>
          <w:rFonts w:eastAsiaTheme="minorHAnsi"/>
          <w:b/>
          <w:color w:val="000000" w:themeColor="text1"/>
          <w:szCs w:val="24"/>
          <w:bdr w:val="none" w:sz="0" w:space="0" w:color="auto"/>
          <w:lang w:eastAsia="en-US"/>
        </w:rPr>
        <w:t xml:space="preserve"> </w:t>
      </w:r>
      <w:proofErr w:type="spellStart"/>
      <w:r w:rsidRPr="003A3B15">
        <w:rPr>
          <w:rFonts w:eastAsiaTheme="minorHAnsi"/>
          <w:bCs/>
          <w:color w:val="000000" w:themeColor="text1"/>
          <w:szCs w:val="24"/>
          <w:bdr w:val="none" w:sz="0" w:space="0" w:color="auto"/>
          <w:lang w:eastAsia="en-US"/>
        </w:rPr>
        <w:t>Munterrichtsmethoden</w:t>
      </w:r>
      <w:proofErr w:type="spellEnd"/>
      <w:r w:rsidR="008856A6">
        <w:rPr>
          <w:rFonts w:eastAsiaTheme="minorHAnsi"/>
          <w:color w:val="262626"/>
          <w:szCs w:val="24"/>
          <w:bdr w:val="none" w:sz="0" w:space="0" w:color="auto"/>
          <w:lang w:eastAsia="en-US"/>
        </w:rPr>
        <w:t xml:space="preserve"> </w:t>
      </w:r>
      <w:r w:rsidRPr="002C25F8">
        <w:rPr>
          <w:rFonts w:eastAsiaTheme="minorHAnsi"/>
          <w:color w:val="262626"/>
          <w:szCs w:val="24"/>
          <w:bdr w:val="none" w:sz="0" w:space="0" w:color="auto"/>
          <w:lang w:eastAsia="en-US"/>
        </w:rPr>
        <w:t>sind einfache</w:t>
      </w:r>
      <w:r>
        <w:rPr>
          <w:rFonts w:eastAsiaTheme="minorHAnsi"/>
          <w:color w:val="262626"/>
          <w:szCs w:val="24"/>
          <w:bdr w:val="none" w:sz="0" w:space="0" w:color="auto"/>
          <w:lang w:eastAsia="en-US"/>
        </w:rPr>
        <w:t>, wenig aufwändige</w:t>
      </w:r>
      <w:r w:rsidRPr="002C25F8">
        <w:rPr>
          <w:rFonts w:eastAsiaTheme="minorHAnsi"/>
          <w:color w:val="262626"/>
          <w:szCs w:val="24"/>
          <w:bdr w:val="none" w:sz="0" w:space="0" w:color="auto"/>
          <w:lang w:eastAsia="en-US"/>
        </w:rPr>
        <w:t xml:space="preserve"> Lehrmethoden, mit denen Sie </w:t>
      </w:r>
      <w:r>
        <w:rPr>
          <w:rFonts w:eastAsiaTheme="minorHAnsi"/>
          <w:color w:val="262626"/>
          <w:szCs w:val="24"/>
          <w:bdr w:val="none" w:sz="0" w:space="0" w:color="auto"/>
          <w:lang w:eastAsia="en-US"/>
        </w:rPr>
        <w:t>die Lernbeweglichkeit Ihrer Teilnehmenden förd</w:t>
      </w:r>
      <w:r w:rsidR="00825889">
        <w:rPr>
          <w:rFonts w:eastAsiaTheme="minorHAnsi"/>
          <w:color w:val="262626"/>
          <w:szCs w:val="24"/>
          <w:bdr w:val="none" w:sz="0" w:space="0" w:color="auto"/>
          <w:lang w:eastAsia="en-US"/>
        </w:rPr>
        <w:t xml:space="preserve">ern können. Besonders </w:t>
      </w:r>
      <w:r w:rsidR="00FD4147">
        <w:rPr>
          <w:rFonts w:eastAsiaTheme="minorHAnsi"/>
          <w:color w:val="262626"/>
          <w:szCs w:val="24"/>
          <w:bdr w:val="none" w:sz="0" w:space="0" w:color="auto"/>
          <w:lang w:eastAsia="en-US"/>
        </w:rPr>
        <w:t>gut</w:t>
      </w:r>
      <w:r w:rsidRPr="002C25F8">
        <w:rPr>
          <w:rFonts w:eastAsiaTheme="minorHAnsi"/>
          <w:color w:val="262626"/>
          <w:szCs w:val="24"/>
          <w:bdr w:val="none" w:sz="0" w:space="0" w:color="auto"/>
          <w:lang w:eastAsia="en-US"/>
        </w:rPr>
        <w:t xml:space="preserve">: </w:t>
      </w:r>
      <w:r w:rsidR="00825889">
        <w:rPr>
          <w:rFonts w:eastAsiaTheme="minorHAnsi"/>
          <w:color w:val="262626"/>
          <w:szCs w:val="24"/>
          <w:bdr w:val="none" w:sz="0" w:space="0" w:color="auto"/>
          <w:lang w:eastAsia="en-US"/>
        </w:rPr>
        <w:t>Diese Lernmethoden</w:t>
      </w:r>
      <w:r w:rsidRPr="002C25F8">
        <w:rPr>
          <w:rFonts w:eastAsiaTheme="minorHAnsi"/>
          <w:color w:val="262626"/>
          <w:szCs w:val="24"/>
          <w:bdr w:val="none" w:sz="0" w:space="0" w:color="auto"/>
          <w:lang w:eastAsia="en-US"/>
        </w:rPr>
        <w:t xml:space="preserve"> </w:t>
      </w:r>
      <w:r w:rsidR="00FD4147">
        <w:rPr>
          <w:rFonts w:eastAsiaTheme="minorHAnsi"/>
          <w:color w:val="262626"/>
          <w:szCs w:val="24"/>
          <w:bdr w:val="none" w:sz="0" w:space="0" w:color="auto"/>
          <w:lang w:eastAsia="en-US"/>
        </w:rPr>
        <w:t xml:space="preserve">regen </w:t>
      </w:r>
      <w:r w:rsidR="00825889">
        <w:rPr>
          <w:rFonts w:eastAsiaTheme="minorHAnsi"/>
          <w:color w:val="262626"/>
          <w:szCs w:val="24"/>
          <w:bdr w:val="none" w:sz="0" w:space="0" w:color="auto"/>
          <w:lang w:eastAsia="en-US"/>
        </w:rPr>
        <w:t xml:space="preserve">Lernen </w:t>
      </w:r>
      <w:r w:rsidR="00FD4147">
        <w:rPr>
          <w:rFonts w:eastAsiaTheme="minorHAnsi"/>
          <w:color w:val="262626"/>
          <w:szCs w:val="24"/>
          <w:bdr w:val="none" w:sz="0" w:space="0" w:color="auto"/>
          <w:lang w:eastAsia="en-US"/>
        </w:rPr>
        <w:t xml:space="preserve">an </w:t>
      </w:r>
      <w:r w:rsidR="00825889">
        <w:rPr>
          <w:rFonts w:eastAsiaTheme="minorHAnsi"/>
          <w:color w:val="262626"/>
          <w:szCs w:val="24"/>
          <w:bdr w:val="none" w:sz="0" w:space="0" w:color="auto"/>
          <w:lang w:eastAsia="en-US"/>
        </w:rPr>
        <w:t>und machen</w:t>
      </w:r>
      <w:r w:rsidRPr="002C25F8">
        <w:rPr>
          <w:rFonts w:eastAsiaTheme="minorHAnsi"/>
          <w:color w:val="262626"/>
          <w:szCs w:val="24"/>
          <w:bdr w:val="none" w:sz="0" w:space="0" w:color="auto"/>
          <w:lang w:eastAsia="en-US"/>
        </w:rPr>
        <w:t xml:space="preserve"> Spaß</w:t>
      </w:r>
      <w:r w:rsidR="00825889">
        <w:rPr>
          <w:rFonts w:eastAsiaTheme="minorHAnsi"/>
          <w:color w:val="262626"/>
          <w:szCs w:val="24"/>
          <w:bdr w:val="none" w:sz="0" w:space="0" w:color="auto"/>
          <w:lang w:eastAsia="en-US"/>
        </w:rPr>
        <w:t xml:space="preserve"> – d</w:t>
      </w:r>
      <w:r w:rsidR="008856A6">
        <w:rPr>
          <w:rFonts w:eastAsiaTheme="minorHAnsi"/>
          <w:color w:val="262626"/>
          <w:szCs w:val="24"/>
          <w:bdr w:val="none" w:sz="0" w:space="0" w:color="auto"/>
          <w:lang w:eastAsia="en-US"/>
        </w:rPr>
        <w:t>en Lehrenden und den Lernenden!</w:t>
      </w:r>
      <w:r w:rsidR="003A3B15">
        <w:rPr>
          <w:rFonts w:eastAsiaTheme="minorHAnsi"/>
          <w:color w:val="262626"/>
          <w:szCs w:val="24"/>
          <w:bdr w:val="none" w:sz="0" w:space="0" w:color="auto"/>
          <w:lang w:eastAsia="en-US"/>
        </w:rPr>
        <w:t xml:space="preserve"> Mit der </w:t>
      </w:r>
      <w:hyperlink r:id="rId14" w:history="1">
        <w:r w:rsidR="003A3B15" w:rsidRPr="0079647B">
          <w:rPr>
            <w:rStyle w:val="Hyperlink"/>
            <w:rFonts w:eastAsiaTheme="minorHAnsi"/>
            <w:szCs w:val="24"/>
            <w:bdr w:val="none" w:sz="0" w:space="0" w:color="auto"/>
            <w:lang w:eastAsia="en-US"/>
          </w:rPr>
          <w:t>BMW-Methode</w:t>
        </w:r>
      </w:hyperlink>
      <w:r w:rsidR="003A3B15">
        <w:rPr>
          <w:rFonts w:eastAsiaTheme="minorHAnsi"/>
          <w:color w:val="262626"/>
          <w:szCs w:val="24"/>
          <w:bdr w:val="none" w:sz="0" w:space="0" w:color="auto"/>
          <w:lang w:eastAsia="en-US"/>
        </w:rPr>
        <w:t xml:space="preserve"> hat Harald Groß auf </w:t>
      </w:r>
      <w:proofErr w:type="spellStart"/>
      <w:r w:rsidR="003A3B15">
        <w:rPr>
          <w:rFonts w:eastAsiaTheme="minorHAnsi"/>
          <w:color w:val="262626"/>
          <w:szCs w:val="24"/>
          <w:bdr w:val="none" w:sz="0" w:space="0" w:color="auto"/>
          <w:lang w:eastAsia="en-US"/>
        </w:rPr>
        <w:t>wb</w:t>
      </w:r>
      <w:proofErr w:type="spellEnd"/>
      <w:r w:rsidR="003A3B15">
        <w:rPr>
          <w:rFonts w:eastAsiaTheme="minorHAnsi"/>
          <w:color w:val="262626"/>
          <w:szCs w:val="24"/>
          <w:bdr w:val="none" w:sz="0" w:space="0" w:color="auto"/>
          <w:lang w:eastAsia="en-US"/>
        </w:rPr>
        <w:t xml:space="preserve">-web eine </w:t>
      </w:r>
      <w:proofErr w:type="spellStart"/>
      <w:r w:rsidR="003A3B15">
        <w:rPr>
          <w:rFonts w:eastAsiaTheme="minorHAnsi"/>
          <w:color w:val="262626"/>
          <w:szCs w:val="24"/>
          <w:bdr w:val="none" w:sz="0" w:space="0" w:color="auto"/>
          <w:lang w:eastAsia="en-US"/>
        </w:rPr>
        <w:t>Munterrichtsmethode</w:t>
      </w:r>
      <w:proofErr w:type="spellEnd"/>
      <w:r w:rsidR="003A3B15">
        <w:rPr>
          <w:rFonts w:eastAsiaTheme="minorHAnsi"/>
          <w:color w:val="262626"/>
          <w:szCs w:val="24"/>
          <w:bdr w:val="none" w:sz="0" w:space="0" w:color="auto"/>
          <w:lang w:eastAsia="en-US"/>
        </w:rPr>
        <w:t xml:space="preserve"> zur Verfügung gestellt und berichtet im Erfahrungsbericht, wie er darauf gekommen ist. </w:t>
      </w:r>
    </w:p>
    <w:p w14:paraId="061C045F" w14:textId="44039556" w:rsidR="00C10176" w:rsidRDefault="00C242E4" w:rsidP="003A3B15">
      <w:pPr>
        <w:pStyle w:val="Flietext"/>
        <w:rPr>
          <w:szCs w:val="24"/>
        </w:rPr>
      </w:pPr>
      <w:r>
        <w:rPr>
          <w:szCs w:val="24"/>
        </w:rPr>
        <w:t xml:space="preserve">Anregende Methoden finden Sie auch unter: </w:t>
      </w:r>
      <w:hyperlink r:id="rId15" w:history="1">
        <w:r w:rsidRPr="00D653C8">
          <w:rPr>
            <w:rStyle w:val="Hyperlink"/>
            <w:szCs w:val="24"/>
          </w:rPr>
          <w:t>http://www.constructif.de/forschung-entwicklung/methodenpool/</w:t>
        </w:r>
      </w:hyperlink>
      <w:r>
        <w:rPr>
          <w:szCs w:val="24"/>
        </w:rPr>
        <w:t>.</w:t>
      </w:r>
    </w:p>
    <w:p w14:paraId="48D7CC54" w14:textId="4E2EDDD4" w:rsidR="48D7CC54" w:rsidRDefault="48D7CC54" w:rsidP="002B5085">
      <w:pPr>
        <w:pStyle w:val="Zwischenberschrift"/>
      </w:pPr>
      <w:r w:rsidRPr="1E1B75AE">
        <w:t>Quellen</w:t>
      </w:r>
    </w:p>
    <w:p w14:paraId="1E1B75AE" w14:textId="2C58744F" w:rsidR="1E1B75AE" w:rsidRDefault="00D317DA" w:rsidP="002B5085">
      <w:pPr>
        <w:pStyle w:val="Quelle"/>
      </w:pPr>
      <w:hyperlink r:id="rId16">
        <w:r w:rsidR="1E1B75AE" w:rsidRPr="1E1B75AE">
          <w:rPr>
            <w:rStyle w:val="Hyperlink"/>
          </w:rPr>
          <w:t>https://www.lindenwood.edu/education/andragogy/andragogy/2011/Livingstone_2001.pdf</w:t>
        </w:r>
      </w:hyperlink>
    </w:p>
    <w:p w14:paraId="7BE0608A" w14:textId="5884E31A" w:rsidR="00C10176" w:rsidRPr="00160780" w:rsidRDefault="00C10176" w:rsidP="00231593">
      <w:pPr>
        <w:pStyle w:val="Flietext"/>
        <w:spacing w:line="360" w:lineRule="auto"/>
        <w:rPr>
          <w:i/>
          <w:szCs w:val="24"/>
          <w:lang w:val="en-US"/>
        </w:rPr>
      </w:pPr>
      <w:r w:rsidRPr="00160780">
        <w:rPr>
          <w:i/>
          <w:szCs w:val="24"/>
          <w:lang w:val="en-US"/>
        </w:rPr>
        <w:t>CC BY</w:t>
      </w:r>
      <w:r w:rsidR="00A8394D">
        <w:rPr>
          <w:i/>
          <w:szCs w:val="24"/>
          <w:lang w:val="en-US"/>
        </w:rPr>
        <w:t>-</w:t>
      </w:r>
      <w:r w:rsidRPr="00160780">
        <w:rPr>
          <w:i/>
          <w:szCs w:val="24"/>
          <w:lang w:val="en-US"/>
        </w:rPr>
        <w:t>SA 3.0</w:t>
      </w:r>
      <w:r w:rsidR="0079647B">
        <w:rPr>
          <w:i/>
          <w:szCs w:val="24"/>
          <w:lang w:val="en-US"/>
        </w:rPr>
        <w:t xml:space="preserve"> DE</w:t>
      </w:r>
      <w:r w:rsidRPr="00160780">
        <w:rPr>
          <w:i/>
          <w:szCs w:val="24"/>
          <w:lang w:val="en-US"/>
        </w:rPr>
        <w:t xml:space="preserve"> by </w:t>
      </w:r>
      <w:r w:rsidR="00D334A5" w:rsidRPr="0079647B">
        <w:rPr>
          <w:b/>
          <w:i/>
          <w:szCs w:val="24"/>
          <w:lang w:val="en-US"/>
        </w:rPr>
        <w:t>Rosemarie Klein</w:t>
      </w:r>
      <w:r w:rsidRPr="00160780">
        <w:rPr>
          <w:i/>
          <w:szCs w:val="24"/>
          <w:lang w:val="en-US"/>
        </w:rPr>
        <w:t xml:space="preserve"> </w:t>
      </w:r>
      <w:proofErr w:type="spellStart"/>
      <w:r w:rsidRPr="00160780">
        <w:rPr>
          <w:i/>
          <w:szCs w:val="24"/>
          <w:lang w:val="en-US"/>
        </w:rPr>
        <w:t>für</w:t>
      </w:r>
      <w:proofErr w:type="spellEnd"/>
      <w:r w:rsidRPr="00160780">
        <w:rPr>
          <w:i/>
          <w:szCs w:val="24"/>
          <w:lang w:val="en-US"/>
        </w:rPr>
        <w:t xml:space="preserve"> </w:t>
      </w:r>
      <w:proofErr w:type="spellStart"/>
      <w:r w:rsidRPr="00160780">
        <w:rPr>
          <w:i/>
          <w:szCs w:val="24"/>
          <w:lang w:val="en-US"/>
        </w:rPr>
        <w:t>wb</w:t>
      </w:r>
      <w:proofErr w:type="spellEnd"/>
      <w:r w:rsidRPr="00160780">
        <w:rPr>
          <w:i/>
          <w:szCs w:val="24"/>
          <w:lang w:val="en-US"/>
        </w:rPr>
        <w:t>-web</w:t>
      </w:r>
    </w:p>
    <w:sectPr w:rsidR="00C10176" w:rsidRPr="00160780" w:rsidSect="00FD3A72">
      <w:headerReference w:type="default" r:id="rId17"/>
      <w:footerReference w:type="defaul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14D96" w14:textId="77777777" w:rsidR="00E641B1" w:rsidRDefault="00E641B1" w:rsidP="00014AE4">
      <w:pPr>
        <w:spacing w:after="0" w:line="240" w:lineRule="auto"/>
      </w:pPr>
      <w:r>
        <w:separator/>
      </w:r>
    </w:p>
  </w:endnote>
  <w:endnote w:type="continuationSeparator" w:id="0">
    <w:p w14:paraId="746D9414" w14:textId="77777777" w:rsidR="00E641B1" w:rsidRDefault="00E641B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05655" w14:textId="77777777" w:rsidR="00E641B1" w:rsidRDefault="00E641B1" w:rsidP="00F621ED">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CBB35FA" wp14:editId="1512A1FF">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F7D050C" w14:textId="77777777" w:rsidR="00E641B1" w:rsidRDefault="00E641B1" w:rsidP="00F621ED">
    <w:pPr>
      <w:autoSpaceDE w:val="0"/>
      <w:autoSpaceDN w:val="0"/>
      <w:adjustRightInd w:val="0"/>
      <w:spacing w:after="0" w:line="240" w:lineRule="auto"/>
      <w:rPr>
        <w:rFonts w:ascii="DINPro" w:hAnsi="DINPro" w:cs="DINPro"/>
        <w:color w:val="333333"/>
        <w:sz w:val="16"/>
        <w:szCs w:val="16"/>
      </w:rPr>
    </w:pPr>
  </w:p>
  <w:p w14:paraId="3A37751A" w14:textId="77777777" w:rsidR="00E641B1" w:rsidRDefault="00E641B1" w:rsidP="00F621ED">
    <w:pPr>
      <w:autoSpaceDE w:val="0"/>
      <w:autoSpaceDN w:val="0"/>
      <w:adjustRightInd w:val="0"/>
      <w:spacing w:after="0" w:line="240" w:lineRule="auto"/>
      <w:rPr>
        <w:rFonts w:ascii="DINPro" w:hAnsi="DINPro" w:cs="DINPro"/>
        <w:color w:val="333333"/>
        <w:sz w:val="16"/>
        <w:szCs w:val="16"/>
      </w:rPr>
    </w:pPr>
  </w:p>
  <w:p w14:paraId="73ABBEC1" w14:textId="06DD75E1" w:rsidR="00E641B1" w:rsidRPr="00F621ED" w:rsidRDefault="00E641B1" w:rsidP="00F621ED">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2E366" w14:textId="77777777" w:rsidR="00E641B1" w:rsidRDefault="00E641B1" w:rsidP="00014AE4">
      <w:pPr>
        <w:spacing w:after="0" w:line="240" w:lineRule="auto"/>
      </w:pPr>
      <w:r>
        <w:separator/>
      </w:r>
    </w:p>
  </w:footnote>
  <w:footnote w:type="continuationSeparator" w:id="0">
    <w:p w14:paraId="0E07726F" w14:textId="77777777" w:rsidR="00E641B1" w:rsidRDefault="00E641B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69DB" w14:textId="24B10BAF" w:rsidR="00E641B1" w:rsidRDefault="00E641B1">
    <w:pPr>
      <w:pStyle w:val="Kopfzeile"/>
    </w:pPr>
    <w:r>
      <w:rPr>
        <w:noProof/>
        <w:lang w:eastAsia="de-DE"/>
      </w:rPr>
      <w:drawing>
        <wp:anchor distT="0" distB="0" distL="114300" distR="114300" simplePos="0" relativeHeight="251664384" behindDoc="1" locked="0" layoutInCell="1" allowOverlap="1" wp14:anchorId="527BD0C2" wp14:editId="730474F8">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D084DC6" wp14:editId="51758661">
              <wp:simplePos x="0" y="0"/>
              <wp:positionH relativeFrom="rightMargin">
                <wp:posOffset>6350</wp:posOffset>
              </wp:positionH>
              <wp:positionV relativeFrom="paragraph">
                <wp:posOffset>215900</wp:posOffset>
              </wp:positionV>
              <wp:extent cx="771525" cy="37846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8460"/>
                      </a:xfrm>
                      <a:prstGeom prst="rect">
                        <a:avLst/>
                      </a:prstGeom>
                      <a:solidFill>
                        <a:srgbClr val="FFFFFF"/>
                      </a:solidFill>
                      <a:ln w="9525">
                        <a:noFill/>
                        <a:miter lim="800000"/>
                        <a:headEnd/>
                        <a:tailEnd/>
                      </a:ln>
                    </wps:spPr>
                    <wps:txbx>
                      <w:txbxContent>
                        <w:p w14:paraId="043768AA" w14:textId="77777777" w:rsidR="00E641B1" w:rsidRPr="00AC2223" w:rsidRDefault="00E641B1"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084DC6" id="_x0000_t202" coordsize="21600,21600" o:spt="202" path="m,l,21600r21600,l21600,xe">
              <v:stroke joinstyle="miter"/>
              <v:path gradientshapeok="t" o:connecttype="rect"/>
            </v:shapetype>
            <v:shape id="Textfeld 2" o:spid="_x0000_s1029" type="#_x0000_t202" style="position:absolute;margin-left:.5pt;margin-top:17pt;width:60.75pt;height:29.8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XIAIAABwEAAAOAAAAZHJzL2Uyb0RvYy54bWysU9tuGyEQfa/Uf0C812tv7dh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" stroked="f">
              <v:textbox style="mso-fit-shape-to-text:t">
                <w:txbxContent>
                  <w:p w14:paraId="043768AA" w14:textId="77777777" w:rsidR="0079647B" w:rsidRPr="00AC2223" w:rsidRDefault="0079647B"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242"/>
    <w:multiLevelType w:val="hybridMultilevel"/>
    <w:tmpl w:val="BA028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F87711"/>
    <w:multiLevelType w:val="hybridMultilevel"/>
    <w:tmpl w:val="148C8066"/>
    <w:lvl w:ilvl="0" w:tplc="09126F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B133C0F"/>
    <w:multiLevelType w:val="hybridMultilevel"/>
    <w:tmpl w:val="C2782734"/>
    <w:lvl w:ilvl="0" w:tplc="636C7BF6">
      <w:start w:val="1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3474B7"/>
    <w:multiLevelType w:val="hybridMultilevel"/>
    <w:tmpl w:val="AF58321A"/>
    <w:lvl w:ilvl="0" w:tplc="636C7BF6">
      <w:start w:val="15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5D0726"/>
    <w:multiLevelType w:val="hybridMultilevel"/>
    <w:tmpl w:val="CD18A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DC0C69"/>
    <w:multiLevelType w:val="hybridMultilevel"/>
    <w:tmpl w:val="B59828FE"/>
    <w:lvl w:ilvl="0" w:tplc="9C422E0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FE1509B"/>
    <w:multiLevelType w:val="hybridMultilevel"/>
    <w:tmpl w:val="234C7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4D5DF4"/>
    <w:multiLevelType w:val="hybridMultilevel"/>
    <w:tmpl w:val="661C9810"/>
    <w:lvl w:ilvl="0" w:tplc="7876D9D8">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8534D5"/>
    <w:multiLevelType w:val="hybridMultilevel"/>
    <w:tmpl w:val="3F9A8C0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57B91596"/>
    <w:multiLevelType w:val="hybridMultilevel"/>
    <w:tmpl w:val="97D67DC2"/>
    <w:lvl w:ilvl="0" w:tplc="636C7BF6">
      <w:start w:val="1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924586"/>
    <w:multiLevelType w:val="hybridMultilevel"/>
    <w:tmpl w:val="BC98B472"/>
    <w:lvl w:ilvl="0" w:tplc="636C7BF6">
      <w:start w:val="1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382B4A"/>
    <w:multiLevelType w:val="hybridMultilevel"/>
    <w:tmpl w:val="F6ACE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0262DD7"/>
    <w:multiLevelType w:val="hybridMultilevel"/>
    <w:tmpl w:val="75EA3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3"/>
  </w:num>
  <w:num w:numId="6">
    <w:abstractNumId w:val="10"/>
  </w:num>
  <w:num w:numId="7">
    <w:abstractNumId w:val="8"/>
  </w:num>
  <w:num w:numId="8">
    <w:abstractNumId w:val="4"/>
  </w:num>
  <w:num w:numId="9">
    <w:abstractNumId w:val="13"/>
  </w:num>
  <w:num w:numId="10">
    <w:abstractNumId w:val="12"/>
  </w:num>
  <w:num w:numId="11">
    <w:abstractNumId w:val="5"/>
  </w:num>
  <w:num w:numId="12">
    <w:abstractNumId w:val="11"/>
  </w:num>
  <w:num w:numId="13">
    <w:abstractNumId w:val="15"/>
  </w:num>
  <w:num w:numId="14">
    <w:abstractNumId w:val="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142C"/>
    <w:rsid w:val="00014AE4"/>
    <w:rsid w:val="00030BF9"/>
    <w:rsid w:val="00042315"/>
    <w:rsid w:val="000A44F1"/>
    <w:rsid w:val="000B3CE7"/>
    <w:rsid w:val="000C6BAB"/>
    <w:rsid w:val="000E352E"/>
    <w:rsid w:val="000E4BEB"/>
    <w:rsid w:val="000E50BD"/>
    <w:rsid w:val="000E5A0E"/>
    <w:rsid w:val="00110D8C"/>
    <w:rsid w:val="00160780"/>
    <w:rsid w:val="0017476E"/>
    <w:rsid w:val="001C0C20"/>
    <w:rsid w:val="001E1423"/>
    <w:rsid w:val="001E6EC9"/>
    <w:rsid w:val="002064B8"/>
    <w:rsid w:val="00206FAA"/>
    <w:rsid w:val="00216962"/>
    <w:rsid w:val="0022296F"/>
    <w:rsid w:val="00231593"/>
    <w:rsid w:val="00242AA0"/>
    <w:rsid w:val="00247225"/>
    <w:rsid w:val="00297954"/>
    <w:rsid w:val="002A2F54"/>
    <w:rsid w:val="002B5085"/>
    <w:rsid w:val="002B666B"/>
    <w:rsid w:val="002C25F8"/>
    <w:rsid w:val="002E54B4"/>
    <w:rsid w:val="002F7BEB"/>
    <w:rsid w:val="00305570"/>
    <w:rsid w:val="00333725"/>
    <w:rsid w:val="00334459"/>
    <w:rsid w:val="00353070"/>
    <w:rsid w:val="00382787"/>
    <w:rsid w:val="00386FBE"/>
    <w:rsid w:val="003A3B15"/>
    <w:rsid w:val="003B5DB8"/>
    <w:rsid w:val="003B65F7"/>
    <w:rsid w:val="003E3058"/>
    <w:rsid w:val="004262B8"/>
    <w:rsid w:val="0048036C"/>
    <w:rsid w:val="004A1DD9"/>
    <w:rsid w:val="004A33CC"/>
    <w:rsid w:val="004D05FA"/>
    <w:rsid w:val="004D0F42"/>
    <w:rsid w:val="004D1831"/>
    <w:rsid w:val="004E1E68"/>
    <w:rsid w:val="004E3392"/>
    <w:rsid w:val="00506977"/>
    <w:rsid w:val="00511225"/>
    <w:rsid w:val="00527C57"/>
    <w:rsid w:val="00567603"/>
    <w:rsid w:val="00572A70"/>
    <w:rsid w:val="00574BEB"/>
    <w:rsid w:val="005A19C8"/>
    <w:rsid w:val="005B2946"/>
    <w:rsid w:val="005C0361"/>
    <w:rsid w:val="005C1CCC"/>
    <w:rsid w:val="005C268B"/>
    <w:rsid w:val="005C2A2F"/>
    <w:rsid w:val="005E7BE5"/>
    <w:rsid w:val="005F75D4"/>
    <w:rsid w:val="006027BA"/>
    <w:rsid w:val="00611CEB"/>
    <w:rsid w:val="0061648F"/>
    <w:rsid w:val="00621195"/>
    <w:rsid w:val="006246A2"/>
    <w:rsid w:val="00631910"/>
    <w:rsid w:val="00635D7A"/>
    <w:rsid w:val="0067451F"/>
    <w:rsid w:val="00675396"/>
    <w:rsid w:val="006754A7"/>
    <w:rsid w:val="00684B1E"/>
    <w:rsid w:val="006916CC"/>
    <w:rsid w:val="006A7971"/>
    <w:rsid w:val="006B2E99"/>
    <w:rsid w:val="006B510F"/>
    <w:rsid w:val="006D334B"/>
    <w:rsid w:val="006D5D2F"/>
    <w:rsid w:val="006D7063"/>
    <w:rsid w:val="006E6866"/>
    <w:rsid w:val="007001BF"/>
    <w:rsid w:val="0070456F"/>
    <w:rsid w:val="00711A1A"/>
    <w:rsid w:val="00716CAE"/>
    <w:rsid w:val="00723B4B"/>
    <w:rsid w:val="00745EE5"/>
    <w:rsid w:val="0074684B"/>
    <w:rsid w:val="00760B09"/>
    <w:rsid w:val="00764DA9"/>
    <w:rsid w:val="00765D9F"/>
    <w:rsid w:val="007930AE"/>
    <w:rsid w:val="0079647B"/>
    <w:rsid w:val="007D2A2F"/>
    <w:rsid w:val="007F1A0C"/>
    <w:rsid w:val="007F6A48"/>
    <w:rsid w:val="00800318"/>
    <w:rsid w:val="008050F4"/>
    <w:rsid w:val="00812C0C"/>
    <w:rsid w:val="00821336"/>
    <w:rsid w:val="00825889"/>
    <w:rsid w:val="008334B4"/>
    <w:rsid w:val="00862F3E"/>
    <w:rsid w:val="008856A6"/>
    <w:rsid w:val="008C1D48"/>
    <w:rsid w:val="00905E2C"/>
    <w:rsid w:val="009069F0"/>
    <w:rsid w:val="00913C77"/>
    <w:rsid w:val="00913D81"/>
    <w:rsid w:val="0095483E"/>
    <w:rsid w:val="009569C8"/>
    <w:rsid w:val="0099227A"/>
    <w:rsid w:val="00997309"/>
    <w:rsid w:val="009C5CEC"/>
    <w:rsid w:val="00A133C5"/>
    <w:rsid w:val="00A42DE0"/>
    <w:rsid w:val="00A438C1"/>
    <w:rsid w:val="00A56228"/>
    <w:rsid w:val="00A651A5"/>
    <w:rsid w:val="00A7652F"/>
    <w:rsid w:val="00A8394D"/>
    <w:rsid w:val="00A96B58"/>
    <w:rsid w:val="00A96F3D"/>
    <w:rsid w:val="00AA4535"/>
    <w:rsid w:val="00AB2ECE"/>
    <w:rsid w:val="00AB72BB"/>
    <w:rsid w:val="00AC2223"/>
    <w:rsid w:val="00AC7A73"/>
    <w:rsid w:val="00AC7F82"/>
    <w:rsid w:val="00AD63E0"/>
    <w:rsid w:val="00AF47BF"/>
    <w:rsid w:val="00B01655"/>
    <w:rsid w:val="00B10C37"/>
    <w:rsid w:val="00B11ED0"/>
    <w:rsid w:val="00B137E3"/>
    <w:rsid w:val="00B27E74"/>
    <w:rsid w:val="00B70DAA"/>
    <w:rsid w:val="00BC2391"/>
    <w:rsid w:val="00BC30F8"/>
    <w:rsid w:val="00BE4CC0"/>
    <w:rsid w:val="00BF0EBA"/>
    <w:rsid w:val="00C000F6"/>
    <w:rsid w:val="00C07190"/>
    <w:rsid w:val="00C10176"/>
    <w:rsid w:val="00C242E4"/>
    <w:rsid w:val="00C3075E"/>
    <w:rsid w:val="00C55CFC"/>
    <w:rsid w:val="00C675B9"/>
    <w:rsid w:val="00C862FA"/>
    <w:rsid w:val="00C931B9"/>
    <w:rsid w:val="00C93D17"/>
    <w:rsid w:val="00CA2424"/>
    <w:rsid w:val="00CA2A96"/>
    <w:rsid w:val="00CE03CC"/>
    <w:rsid w:val="00CE4FEA"/>
    <w:rsid w:val="00D17A67"/>
    <w:rsid w:val="00D303E3"/>
    <w:rsid w:val="00D31349"/>
    <w:rsid w:val="00D317DA"/>
    <w:rsid w:val="00D334A5"/>
    <w:rsid w:val="00D56BC4"/>
    <w:rsid w:val="00D620D3"/>
    <w:rsid w:val="00D63C74"/>
    <w:rsid w:val="00D67873"/>
    <w:rsid w:val="00DB4FF9"/>
    <w:rsid w:val="00DC42A5"/>
    <w:rsid w:val="00DF24E3"/>
    <w:rsid w:val="00DF3D80"/>
    <w:rsid w:val="00E03B30"/>
    <w:rsid w:val="00E056E0"/>
    <w:rsid w:val="00E31E3A"/>
    <w:rsid w:val="00E33E28"/>
    <w:rsid w:val="00E53294"/>
    <w:rsid w:val="00E5546C"/>
    <w:rsid w:val="00E641B1"/>
    <w:rsid w:val="00E678F7"/>
    <w:rsid w:val="00E76781"/>
    <w:rsid w:val="00E7746D"/>
    <w:rsid w:val="00E81BCE"/>
    <w:rsid w:val="00E84DD0"/>
    <w:rsid w:val="00EC0F52"/>
    <w:rsid w:val="00EC2625"/>
    <w:rsid w:val="00ED0DBD"/>
    <w:rsid w:val="00ED65AA"/>
    <w:rsid w:val="00EE4F80"/>
    <w:rsid w:val="00EE6221"/>
    <w:rsid w:val="00EE7AA4"/>
    <w:rsid w:val="00F06920"/>
    <w:rsid w:val="00F50BDE"/>
    <w:rsid w:val="00F602F8"/>
    <w:rsid w:val="00F621ED"/>
    <w:rsid w:val="00F822AC"/>
    <w:rsid w:val="00F91951"/>
    <w:rsid w:val="00FD3039"/>
    <w:rsid w:val="00FD3A72"/>
    <w:rsid w:val="00FD4147"/>
    <w:rsid w:val="00FD4313"/>
    <w:rsid w:val="00FD7066"/>
    <w:rsid w:val="00FE317C"/>
    <w:rsid w:val="00FE5D8E"/>
    <w:rsid w:val="1D954FB7"/>
    <w:rsid w:val="1E1B75AE"/>
    <w:rsid w:val="48D7CC54"/>
    <w:rsid w:val="4B5DEF0D"/>
    <w:rsid w:val="55A5DB9D"/>
    <w:rsid w:val="681A4D91"/>
    <w:rsid w:val="731CFB59"/>
    <w:rsid w:val="781850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37236A"/>
  <w15:docId w15:val="{E27FE729-C541-4D3F-9464-61A9E196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EE6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F621ED"/>
    <w:rPr>
      <w:b/>
      <w:szCs w:val="24"/>
    </w:rPr>
  </w:style>
  <w:style w:type="paragraph" w:styleId="Sprechblasentext">
    <w:name w:val="Balloon Text"/>
    <w:basedOn w:val="Standard"/>
    <w:link w:val="SprechblasentextZchn"/>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F621E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0318"/>
    <w:pPr>
      <w:ind w:left="720"/>
      <w:contextualSpacing/>
    </w:pPr>
  </w:style>
  <w:style w:type="character" w:styleId="Hyperlink">
    <w:name w:val="Hyperlink"/>
    <w:basedOn w:val="Absatz-Standardschriftart"/>
    <w:uiPriority w:val="99"/>
    <w:unhideWhenUsed/>
    <w:rsid w:val="00BC30F8"/>
    <w:rPr>
      <w:color w:val="0000FF" w:themeColor="hyperlink"/>
      <w:u w:val="single"/>
    </w:rPr>
  </w:style>
  <w:style w:type="character" w:styleId="HTMLZitat">
    <w:name w:val="HTML Cite"/>
    <w:basedOn w:val="Absatz-Standardschriftart"/>
    <w:uiPriority w:val="99"/>
    <w:semiHidden/>
    <w:unhideWhenUsed/>
    <w:rsid w:val="00E7746D"/>
    <w:rPr>
      <w:i/>
      <w:iCs/>
    </w:rPr>
  </w:style>
  <w:style w:type="character" w:customStyle="1" w:styleId="berschrift1Zchn">
    <w:name w:val="Überschrift 1 Zchn"/>
    <w:basedOn w:val="Absatz-Standardschriftart"/>
    <w:link w:val="berschrift1"/>
    <w:uiPriority w:val="9"/>
    <w:rsid w:val="00EE6221"/>
    <w:rPr>
      <w:rFonts w:asciiTheme="majorHAnsi" w:eastAsiaTheme="majorEastAsia" w:hAnsiTheme="majorHAnsi" w:cstheme="majorBidi"/>
      <w:b/>
      <w:bCs/>
      <w:color w:val="365F91" w:themeColor="accent1" w:themeShade="BF"/>
      <w:sz w:val="28"/>
      <w:szCs w:val="28"/>
      <w:u w:color="000000"/>
      <w:bdr w:val="nil"/>
      <w:lang w:eastAsia="de-DE"/>
    </w:rPr>
  </w:style>
  <w:style w:type="character" w:styleId="Hervorhebung">
    <w:name w:val="Emphasis"/>
    <w:basedOn w:val="Absatz-Standardschriftart"/>
    <w:uiPriority w:val="20"/>
    <w:qFormat/>
    <w:rsid w:val="0070456F"/>
    <w:rPr>
      <w:i/>
      <w:iCs/>
    </w:rPr>
  </w:style>
  <w:style w:type="character" w:styleId="BesuchterHyperlink">
    <w:name w:val="FollowedHyperlink"/>
    <w:basedOn w:val="Absatz-Standardschriftart"/>
    <w:uiPriority w:val="99"/>
    <w:semiHidden/>
    <w:unhideWhenUsed/>
    <w:rsid w:val="0070456F"/>
    <w:rPr>
      <w:color w:val="800080" w:themeColor="followedHyperlink"/>
      <w:u w:val="single"/>
    </w:rPr>
  </w:style>
  <w:style w:type="character" w:styleId="IntensiveHervorhebung">
    <w:name w:val="Intense Emphasis"/>
    <w:basedOn w:val="Absatz-Standardschriftart"/>
    <w:uiPriority w:val="21"/>
    <w:qFormat/>
    <w:rsid w:val="007001BF"/>
    <w:rPr>
      <w:b/>
      <w:bCs/>
      <w:i/>
      <w:iCs/>
      <w:color w:val="4F81BD" w:themeColor="accent1"/>
    </w:rPr>
  </w:style>
  <w:style w:type="character" w:styleId="Kommentarzeichen">
    <w:name w:val="annotation reference"/>
    <w:basedOn w:val="Absatz-Standardschriftart"/>
    <w:uiPriority w:val="99"/>
    <w:semiHidden/>
    <w:unhideWhenUsed/>
    <w:rsid w:val="00C55CFC"/>
    <w:rPr>
      <w:sz w:val="16"/>
      <w:szCs w:val="16"/>
    </w:rPr>
  </w:style>
  <w:style w:type="paragraph" w:styleId="Kommentartext">
    <w:name w:val="annotation text"/>
    <w:basedOn w:val="Standard"/>
    <w:link w:val="KommentartextZchn"/>
    <w:uiPriority w:val="99"/>
    <w:semiHidden/>
    <w:unhideWhenUsed/>
    <w:rsid w:val="00C55C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5CF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C55CFC"/>
    <w:rPr>
      <w:b/>
      <w:bCs/>
    </w:rPr>
  </w:style>
  <w:style w:type="character" w:customStyle="1" w:styleId="KommentarthemaZchn">
    <w:name w:val="Kommentarthema Zchn"/>
    <w:basedOn w:val="KommentartextZchn"/>
    <w:link w:val="Kommentarthema"/>
    <w:uiPriority w:val="99"/>
    <w:semiHidden/>
    <w:rsid w:val="00C55CFC"/>
    <w:rPr>
      <w:rFonts w:ascii="Calibri" w:eastAsia="Calibri" w:hAnsi="Calibri" w:cs="Calibri"/>
      <w:b/>
      <w:bCs/>
      <w:color w:val="000000"/>
      <w:sz w:val="20"/>
      <w:szCs w:val="20"/>
      <w:u w:color="000000"/>
      <w:bdr w:val="nil"/>
      <w:lang w:eastAsia="de-DE"/>
    </w:rPr>
  </w:style>
  <w:style w:type="paragraph" w:styleId="berarbeitung">
    <w:name w:val="Revision"/>
    <w:hidden/>
    <w:uiPriority w:val="99"/>
    <w:semiHidden/>
    <w:rsid w:val="003E3058"/>
    <w:pPr>
      <w:spacing w:after="0" w:line="240" w:lineRule="auto"/>
    </w:pPr>
    <w:rPr>
      <w:rFonts w:ascii="Calibri" w:eastAsia="Calibri" w:hAnsi="Calibri" w:cs="Calibri"/>
      <w:color w:val="000000"/>
      <w:u w:color="000000"/>
      <w:bdr w:val="nil"/>
      <w:lang w:eastAsia="de-DE"/>
    </w:rPr>
  </w:style>
  <w:style w:type="character" w:customStyle="1" w:styleId="highlight">
    <w:name w:val="highlight"/>
    <w:basedOn w:val="Absatz-Standardschriftart"/>
    <w:rsid w:val="000E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795216393">
      <w:bodyDiv w:val="1"/>
      <w:marLeft w:val="0"/>
      <w:marRight w:val="0"/>
      <w:marTop w:val="0"/>
      <w:marBottom w:val="0"/>
      <w:divBdr>
        <w:top w:val="none" w:sz="0" w:space="0" w:color="auto"/>
        <w:left w:val="none" w:sz="0" w:space="0" w:color="auto"/>
        <w:bottom w:val="none" w:sz="0" w:space="0" w:color="auto"/>
        <w:right w:val="none" w:sz="0" w:space="0" w:color="auto"/>
      </w:divBdr>
      <w:divsChild>
        <w:div w:id="322246362">
          <w:marLeft w:val="0"/>
          <w:marRight w:val="0"/>
          <w:marTop w:val="0"/>
          <w:marBottom w:val="0"/>
          <w:divBdr>
            <w:top w:val="none" w:sz="0" w:space="0" w:color="auto"/>
            <w:left w:val="none" w:sz="0" w:space="0" w:color="auto"/>
            <w:bottom w:val="none" w:sz="0" w:space="0" w:color="auto"/>
            <w:right w:val="none" w:sz="0" w:space="0" w:color="auto"/>
          </w:divBdr>
          <w:divsChild>
            <w:div w:id="1849783094">
              <w:marLeft w:val="0"/>
              <w:marRight w:val="0"/>
              <w:marTop w:val="300"/>
              <w:marBottom w:val="0"/>
              <w:divBdr>
                <w:top w:val="none" w:sz="0" w:space="0" w:color="auto"/>
                <w:left w:val="none" w:sz="0" w:space="0" w:color="auto"/>
                <w:bottom w:val="none" w:sz="0" w:space="0" w:color="auto"/>
                <w:right w:val="none" w:sz="0" w:space="0" w:color="auto"/>
              </w:divBdr>
              <w:divsChild>
                <w:div w:id="31925644">
                  <w:marLeft w:val="4650"/>
                  <w:marRight w:val="4800"/>
                  <w:marTop w:val="0"/>
                  <w:marBottom w:val="0"/>
                  <w:divBdr>
                    <w:top w:val="none" w:sz="0" w:space="0" w:color="auto"/>
                    <w:left w:val="none" w:sz="0" w:space="0" w:color="auto"/>
                    <w:bottom w:val="none" w:sz="0" w:space="0" w:color="auto"/>
                    <w:right w:val="none" w:sz="0" w:space="0" w:color="auto"/>
                  </w:divBdr>
                  <w:divsChild>
                    <w:div w:id="773211257">
                      <w:marLeft w:val="0"/>
                      <w:marRight w:val="0"/>
                      <w:marTop w:val="0"/>
                      <w:marBottom w:val="0"/>
                      <w:divBdr>
                        <w:top w:val="none" w:sz="0" w:space="0" w:color="auto"/>
                        <w:left w:val="none" w:sz="0" w:space="0" w:color="auto"/>
                        <w:bottom w:val="none" w:sz="0" w:space="0" w:color="auto"/>
                        <w:right w:val="none" w:sz="0" w:space="0" w:color="auto"/>
                      </w:divBdr>
                      <w:divsChild>
                        <w:div w:id="1685472779">
                          <w:marLeft w:val="0"/>
                          <w:marRight w:val="0"/>
                          <w:marTop w:val="0"/>
                          <w:marBottom w:val="330"/>
                          <w:divBdr>
                            <w:top w:val="none" w:sz="0" w:space="0" w:color="auto"/>
                            <w:left w:val="none" w:sz="0" w:space="0" w:color="auto"/>
                            <w:bottom w:val="none" w:sz="0" w:space="0" w:color="auto"/>
                            <w:right w:val="none" w:sz="0" w:space="0" w:color="auto"/>
                          </w:divBdr>
                        </w:div>
                        <w:div w:id="74745789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741978480">
      <w:bodyDiv w:val="1"/>
      <w:marLeft w:val="0"/>
      <w:marRight w:val="0"/>
      <w:marTop w:val="0"/>
      <w:marBottom w:val="0"/>
      <w:divBdr>
        <w:top w:val="none" w:sz="0" w:space="0" w:color="auto"/>
        <w:left w:val="none" w:sz="0" w:space="0" w:color="auto"/>
        <w:bottom w:val="none" w:sz="0" w:space="0" w:color="auto"/>
        <w:right w:val="none" w:sz="0" w:space="0" w:color="auto"/>
      </w:divBdr>
      <w:divsChild>
        <w:div w:id="91098263">
          <w:marLeft w:val="0"/>
          <w:marRight w:val="0"/>
          <w:marTop w:val="0"/>
          <w:marBottom w:val="0"/>
          <w:divBdr>
            <w:top w:val="none" w:sz="0" w:space="0" w:color="auto"/>
            <w:left w:val="none" w:sz="0" w:space="0" w:color="auto"/>
            <w:bottom w:val="none" w:sz="0" w:space="0" w:color="auto"/>
            <w:right w:val="none" w:sz="0" w:space="0" w:color="auto"/>
          </w:divBdr>
        </w:div>
        <w:div w:id="333804241">
          <w:marLeft w:val="0"/>
          <w:marRight w:val="0"/>
          <w:marTop w:val="0"/>
          <w:marBottom w:val="0"/>
          <w:divBdr>
            <w:top w:val="none" w:sz="0" w:space="0" w:color="auto"/>
            <w:left w:val="none" w:sz="0" w:space="0" w:color="auto"/>
            <w:bottom w:val="none" w:sz="0" w:space="0" w:color="auto"/>
            <w:right w:val="none" w:sz="0" w:space="0" w:color="auto"/>
          </w:divBdr>
        </w:div>
        <w:div w:id="1886792120">
          <w:marLeft w:val="0"/>
          <w:marRight w:val="0"/>
          <w:marTop w:val="0"/>
          <w:marBottom w:val="0"/>
          <w:divBdr>
            <w:top w:val="none" w:sz="0" w:space="0" w:color="auto"/>
            <w:left w:val="none" w:sz="0" w:space="0" w:color="auto"/>
            <w:bottom w:val="none" w:sz="0" w:space="0" w:color="auto"/>
            <w:right w:val="none" w:sz="0" w:space="0" w:color="auto"/>
          </w:divBdr>
        </w:div>
        <w:div w:id="120346221">
          <w:marLeft w:val="0"/>
          <w:marRight w:val="0"/>
          <w:marTop w:val="0"/>
          <w:marBottom w:val="0"/>
          <w:divBdr>
            <w:top w:val="none" w:sz="0" w:space="0" w:color="auto"/>
            <w:left w:val="none" w:sz="0" w:space="0" w:color="auto"/>
            <w:bottom w:val="none" w:sz="0" w:space="0" w:color="auto"/>
            <w:right w:val="none" w:sz="0" w:space="0" w:color="auto"/>
          </w:divBdr>
        </w:div>
        <w:div w:id="929001111">
          <w:marLeft w:val="0"/>
          <w:marRight w:val="0"/>
          <w:marTop w:val="0"/>
          <w:marBottom w:val="0"/>
          <w:divBdr>
            <w:top w:val="none" w:sz="0" w:space="0" w:color="auto"/>
            <w:left w:val="none" w:sz="0" w:space="0" w:color="auto"/>
            <w:bottom w:val="none" w:sz="0" w:space="0" w:color="auto"/>
            <w:right w:val="none" w:sz="0" w:space="0" w:color="auto"/>
          </w:divBdr>
        </w:div>
        <w:div w:id="807865219">
          <w:marLeft w:val="0"/>
          <w:marRight w:val="0"/>
          <w:marTop w:val="0"/>
          <w:marBottom w:val="0"/>
          <w:divBdr>
            <w:top w:val="none" w:sz="0" w:space="0" w:color="auto"/>
            <w:left w:val="none" w:sz="0" w:space="0" w:color="auto"/>
            <w:bottom w:val="none" w:sz="0" w:space="0" w:color="auto"/>
            <w:right w:val="none" w:sz="0" w:space="0" w:color="auto"/>
          </w:divBdr>
        </w:div>
        <w:div w:id="532235861">
          <w:marLeft w:val="0"/>
          <w:marRight w:val="0"/>
          <w:marTop w:val="0"/>
          <w:marBottom w:val="0"/>
          <w:divBdr>
            <w:top w:val="none" w:sz="0" w:space="0" w:color="auto"/>
            <w:left w:val="none" w:sz="0" w:space="0" w:color="auto"/>
            <w:bottom w:val="none" w:sz="0" w:space="0" w:color="auto"/>
            <w:right w:val="none" w:sz="0" w:space="0" w:color="auto"/>
          </w:divBdr>
        </w:div>
        <w:div w:id="1049956595">
          <w:marLeft w:val="0"/>
          <w:marRight w:val="0"/>
          <w:marTop w:val="0"/>
          <w:marBottom w:val="0"/>
          <w:divBdr>
            <w:top w:val="none" w:sz="0" w:space="0" w:color="auto"/>
            <w:left w:val="none" w:sz="0" w:space="0" w:color="auto"/>
            <w:bottom w:val="none" w:sz="0" w:space="0" w:color="auto"/>
            <w:right w:val="none" w:sz="0" w:space="0" w:color="auto"/>
          </w:divBdr>
        </w:div>
        <w:div w:id="1004016887">
          <w:marLeft w:val="0"/>
          <w:marRight w:val="0"/>
          <w:marTop w:val="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denwood.edu/education/andragogy/andragogy/2011/Livingstone_20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denwood.edu/education/andragogy/andragogy/2011/Livingstone_2001.pdf" TargetMode="External"/><Relationship Id="rId5" Type="http://schemas.openxmlformats.org/officeDocument/2006/relationships/numbering" Target="numbering.xml"/><Relationship Id="rId15" Type="http://schemas.openxmlformats.org/officeDocument/2006/relationships/hyperlink" Target="http://www.constructif.de/forschung-entwicklung/methodenpoo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b-web.de/material/methoden/Bequem-Mutig-Waghalsig-die-BMW-Method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850E-8FFC-410A-B019-1E52252E0DA2}">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ABC94F6-6A0B-46A4-A092-0C0E82AF4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C69578-7A5A-4834-998E-021584E08D66}">
  <ds:schemaRefs>
    <ds:schemaRef ds:uri="http://schemas.microsoft.com/sharepoint/v3/contenttype/forms"/>
  </ds:schemaRefs>
</ds:datastoreItem>
</file>

<file path=customXml/itemProps4.xml><?xml version="1.0" encoding="utf-8"?>
<ds:datastoreItem xmlns:ds="http://schemas.openxmlformats.org/officeDocument/2006/customXml" ds:itemID="{B74A3BC8-6D46-4609-B8CC-52C86794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A8F97AE4.dotm</Template>
  <TotalTime>0</TotalTime>
  <Pages>6</Pages>
  <Words>1486</Words>
  <Characters>9364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8</cp:revision>
  <cp:lastPrinted>2015-10-16T10:30:00Z</cp:lastPrinted>
  <dcterms:created xsi:type="dcterms:W3CDTF">2016-05-09T07:32:00Z</dcterms:created>
  <dcterms:modified xsi:type="dcterms:W3CDTF">2016-05-17T10:04:00Z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