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01" w:rsidRDefault="00EF7101" w:rsidP="00EF7101">
      <w:pPr>
        <w:pStyle w:val="Materialtyp1"/>
      </w:pPr>
      <w:r>
        <w:t>Handlungsanleitung</w:t>
      </w:r>
    </w:p>
    <w:p w:rsidR="007B59B9" w:rsidRDefault="005B0507" w:rsidP="007B59B9">
      <w:pPr>
        <w:pStyle w:val="Headline"/>
      </w:pPr>
      <w:r>
        <w:t xml:space="preserve">Sichern Sie den Transfer mit </w:t>
      </w:r>
      <w:r w:rsidR="00E467E9">
        <w:t xml:space="preserve">der </w:t>
      </w:r>
      <w:r>
        <w:t>„</w:t>
      </w:r>
      <w:r w:rsidR="00E467E9">
        <w:t>zweiten Bühne</w:t>
      </w:r>
      <w:r>
        <w:t>“</w:t>
      </w:r>
    </w:p>
    <w:p w:rsidR="005B0507" w:rsidRDefault="00E467E9" w:rsidP="00E467E9">
      <w:pPr>
        <w:pStyle w:val="Teaser"/>
      </w:pPr>
      <w:r>
        <w:t>Bewegter Körper – bewegter Geist, 1000</w:t>
      </w:r>
      <w:r w:rsidR="00EC164E">
        <w:t>-</w:t>
      </w:r>
      <w:r>
        <w:t>fach gehört, Sie kennen das. Theoretisch. In Ihrer Trainingspraxis gelingt diese Bewegung nicht immer. Selbst wenn Ihr Training gut und aktiv läuft</w:t>
      </w:r>
      <w:r w:rsidR="00EC164E">
        <w:t>,</w:t>
      </w:r>
      <w:r>
        <w:t xml:space="preserve"> bewegen sich Ihre Teilnehme</w:t>
      </w:r>
      <w:r w:rsidR="003618D3">
        <w:t>nden</w:t>
      </w:r>
      <w:r>
        <w:t xml:space="preserve"> nur dann gern, wenn es „in der Praxis“ ist, d.h. gezielt zum Thema oder zur Methode passt. </w:t>
      </w:r>
      <w:r w:rsidR="005B0507">
        <w:t>Die Methode „zweite Bühne“ ist eine Anregung, wie der Transfer in die Praxis gelingen kann.</w:t>
      </w:r>
    </w:p>
    <w:p w:rsidR="00E467E9" w:rsidRDefault="005B0507" w:rsidP="003618D3">
      <w:pPr>
        <w:pStyle w:val="Flietext"/>
      </w:pPr>
      <w:r>
        <w:t xml:space="preserve">Symbolische Bewegungen, Schritte sind eher kontraproduktiv. </w:t>
      </w:r>
      <w:r w:rsidR="00E467E9">
        <w:t>Der Transfer, also die Schritte in die Praxis</w:t>
      </w:r>
      <w:r w:rsidR="00EC164E">
        <w:t>,</w:t>
      </w:r>
      <w:r w:rsidR="00E467E9">
        <w:t xml:space="preserve"> scheinen nicht ins Training zu gehören, denn Worte wie „den Schritt muss ich dann hinterher allein gehen“ hören Sie öfters… Eine Art „Lähmung“ setzt zuweilen ein… Angst steigt in Ihnen auf, denn Lähmung ist das Gegenteil von Lernen… Wann immer Sie verbale Angebote zur Bewegung machen, bricht die Dynamik ab...</w:t>
      </w:r>
    </w:p>
    <w:p w:rsidR="005B0507" w:rsidRDefault="00E467E9" w:rsidP="005B0507">
      <w:pPr>
        <w:pStyle w:val="Zwischenberschrift"/>
      </w:pPr>
      <w:r>
        <w:t xml:space="preserve">Versuchen Sie es mit der </w:t>
      </w:r>
      <w:r w:rsidR="00EC164E">
        <w:t>zweiten</w:t>
      </w:r>
      <w:r>
        <w:t xml:space="preserve"> Bühne.</w:t>
      </w:r>
    </w:p>
    <w:p w:rsidR="00E467E9" w:rsidRDefault="00E467E9" w:rsidP="003618D3">
      <w:pPr>
        <w:pStyle w:val="Flietext"/>
      </w:pPr>
      <w:r>
        <w:t>Nutzen Sie die Hälfte des Trainingsraums als Praxisfeld.</w:t>
      </w:r>
    </w:p>
    <w:p w:rsidR="007B59B9" w:rsidRPr="00E467E9" w:rsidRDefault="00E467E9" w:rsidP="00A669B5">
      <w:pPr>
        <w:pBdr>
          <w:top w:val="single" w:sz="4" w:space="1" w:color="auto"/>
          <w:left w:val="single" w:sz="4" w:space="1" w:color="auto"/>
          <w:bottom w:val="single" w:sz="4" w:space="1" w:color="auto"/>
          <w:right w:val="single" w:sz="4" w:space="1" w:color="auto"/>
        </w:pBdr>
        <w:rPr>
          <w:rStyle w:val="FlietextZchn"/>
        </w:rPr>
      </w:pPr>
      <w:r>
        <w:rPr>
          <w:rFonts w:ascii="Arial" w:hAnsi="Arial" w:cs="Arial"/>
          <w:b/>
          <w:sz w:val="24"/>
        </w:rPr>
        <w:t>Ziel:</w:t>
      </w:r>
      <w:r w:rsidR="00A669B5" w:rsidRPr="00E467E9">
        <w:rPr>
          <w:rStyle w:val="FlietextZchn"/>
        </w:rPr>
        <w:t xml:space="preserve"> </w:t>
      </w:r>
      <w:r w:rsidRPr="00E467E9">
        <w:rPr>
          <w:rStyle w:val="FlietextZchn"/>
        </w:rPr>
        <w:t>Teilnehme</w:t>
      </w:r>
      <w:r w:rsidR="00817012">
        <w:rPr>
          <w:rStyle w:val="FlietextZchn"/>
        </w:rPr>
        <w:t>nde</w:t>
      </w:r>
      <w:r w:rsidRPr="00E467E9">
        <w:rPr>
          <w:rStyle w:val="FlietextZchn"/>
        </w:rPr>
        <w:t xml:space="preserve"> bei der kritischen Auseinandersetzung mit dem Schritt in die Praxis begleiten. Den Schritt in die Praxis im Trainingsraum vollziehen</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w:t>
      </w:r>
      <w:r w:rsidR="00E467E9">
        <w:rPr>
          <w:rFonts w:ascii="Arial" w:eastAsia="Times New Roman" w:hAnsi="Arial" w:cs="Arial"/>
          <w:sz w:val="24"/>
        </w:rPr>
        <w:t>Platz im Raum (hinten), Flipchart</w:t>
      </w:r>
      <w:r w:rsidRPr="00A669B5">
        <w:rPr>
          <w:rFonts w:ascii="Arial" w:eastAsia="Times New Roman" w:hAnsi="Arial" w:cs="Arial"/>
          <w:sz w:val="24"/>
        </w:rPr>
        <w:t xml:space="preserve"> </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 xml:space="preserve">Dauer: </w:t>
      </w:r>
      <w:r w:rsidR="007B59B9">
        <w:rPr>
          <w:rFonts w:ascii="Arial" w:eastAsia="Times New Roman" w:hAnsi="Arial" w:cs="Arial"/>
          <w:sz w:val="24"/>
        </w:rPr>
        <w:t xml:space="preserve"> fünf bis zehn Minuten im ersten Drittel der Veranstaltung, danach je nach Bedarf</w:t>
      </w:r>
      <w:r w:rsidR="00E467E9">
        <w:rPr>
          <w:rFonts w:ascii="Arial" w:eastAsia="Times New Roman" w:hAnsi="Arial" w:cs="Arial"/>
          <w:sz w:val="24"/>
        </w:rPr>
        <w:t>, z</w:t>
      </w:r>
      <w:r w:rsidR="007B59B9">
        <w:rPr>
          <w:rFonts w:ascii="Arial" w:eastAsia="Times New Roman" w:hAnsi="Arial" w:cs="Arial"/>
          <w:sz w:val="24"/>
        </w:rPr>
        <w:t>wischendurch drei bis fünf Minuten</w:t>
      </w:r>
    </w:p>
    <w:p w:rsidR="00E467E9" w:rsidRPr="009F71E6" w:rsidRDefault="00E467E9" w:rsidP="00E467E9">
      <w:pPr>
        <w:pStyle w:val="Zwischenberschrift"/>
      </w:pPr>
      <w:r>
        <w:t>Wie das gehen kann</w:t>
      </w:r>
    </w:p>
    <w:p w:rsidR="00E467E9" w:rsidRDefault="00E467E9" w:rsidP="00E467E9">
      <w:pPr>
        <w:pStyle w:val="Flietext"/>
      </w:pPr>
      <w:r>
        <w:t>Gestalten Sie Ihren Trainingsraum ganzheitlicher, indem Sie das Hinten zum Vorne machen.</w:t>
      </w:r>
    </w:p>
    <w:p w:rsidR="00E467E9" w:rsidRDefault="00E467E9" w:rsidP="00E467E9">
      <w:pPr>
        <w:pStyle w:val="Flietext"/>
      </w:pPr>
      <w:r>
        <w:t xml:space="preserve">Stellen Sie dafür einen Flipchart bzw. eine </w:t>
      </w:r>
      <w:r w:rsidR="006879DA">
        <w:t>Pinnwand</w:t>
      </w:r>
      <w:r>
        <w:t xml:space="preserve"> im hinteren Teil des Raumes bereit.</w:t>
      </w:r>
      <w:r w:rsidR="00817012">
        <w:t xml:space="preserve"> </w:t>
      </w:r>
      <w:r>
        <w:t>Nutzen Sie den gesamten Trainingsraum und „besetzen“ Sie beide Bühnen im Seminarraum unterschiedlich:</w:t>
      </w:r>
    </w:p>
    <w:p w:rsidR="00E467E9" w:rsidRDefault="00E467E9" w:rsidP="00817012">
      <w:pPr>
        <w:pStyle w:val="AufzhlungPunkte"/>
      </w:pPr>
      <w:r>
        <w:t>Vorn: Input und Themenerarbeitung</w:t>
      </w:r>
    </w:p>
    <w:p w:rsidR="00E467E9" w:rsidRDefault="00E467E9" w:rsidP="00817012">
      <w:pPr>
        <w:pStyle w:val="AufzhlungPunkte"/>
      </w:pPr>
      <w:r>
        <w:t>Hinten (die sogenannte zweite Bühne): Transferchancen und -schwierigkeiten</w:t>
      </w:r>
    </w:p>
    <w:p w:rsidR="003618D3" w:rsidRDefault="00817012" w:rsidP="003618D3">
      <w:pPr>
        <w:pStyle w:val="Zwischenberschrift"/>
      </w:pPr>
      <w:r>
        <w:rPr>
          <w:noProof/>
        </w:rPr>
        <w:lastRenderedPageBreak/>
        <mc:AlternateContent>
          <mc:Choice Requires="wps">
            <w:drawing>
              <wp:anchor distT="45720" distB="45720" distL="114300" distR="114300" simplePos="0" relativeHeight="251662336" behindDoc="0" locked="0" layoutInCell="1" allowOverlap="1" wp14:anchorId="2E379A8A" wp14:editId="26307973">
                <wp:simplePos x="0" y="0"/>
                <wp:positionH relativeFrom="column">
                  <wp:posOffset>43180</wp:posOffset>
                </wp:positionH>
                <wp:positionV relativeFrom="paragraph">
                  <wp:posOffset>4728210</wp:posOffset>
                </wp:positionV>
                <wp:extent cx="3451860" cy="485775"/>
                <wp:effectExtent l="0" t="0" r="0" b="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85775"/>
                        </a:xfrm>
                        <a:prstGeom prst="rect">
                          <a:avLst/>
                        </a:prstGeom>
                        <a:noFill/>
                        <a:ln w="9525">
                          <a:noFill/>
                          <a:miter lim="800000"/>
                          <a:headEnd/>
                          <a:tailEnd/>
                        </a:ln>
                      </wps:spPr>
                      <wps:txbx>
                        <w:txbxContent>
                          <w:p w:rsidR="00495C1B" w:rsidRPr="00495C1B" w:rsidRDefault="00495C1B">
                            <w:pPr>
                              <w:rPr>
                                <w:rFonts w:ascii="Arial" w:hAnsi="Arial" w:cs="Arial"/>
                                <w:i/>
                                <w:sz w:val="20"/>
                                <w:szCs w:val="20"/>
                              </w:rPr>
                            </w:pPr>
                            <w:r w:rsidRPr="00495C1B">
                              <w:rPr>
                                <w:rFonts w:ascii="Arial" w:hAnsi="Arial" w:cs="Arial"/>
                                <w:i/>
                                <w:sz w:val="20"/>
                                <w:szCs w:val="20"/>
                              </w:rPr>
                              <w:t xml:space="preserve">Transfer von der Lernsituation in die Lebenswelt der Teilnehmenden. (Bild: </w:t>
                            </w:r>
                            <w:r w:rsidR="00A23AA4">
                              <w:rPr>
                                <w:rFonts w:ascii="Arial" w:hAnsi="Arial" w:cs="Arial"/>
                                <w:i/>
                                <w:sz w:val="20"/>
                                <w:szCs w:val="20"/>
                              </w:rPr>
                              <w:t xml:space="preserve">Copyright </w:t>
                            </w:r>
                            <w:r w:rsidRPr="00495C1B">
                              <w:rPr>
                                <w:rFonts w:ascii="Arial" w:hAnsi="Arial" w:cs="Arial"/>
                                <w:i/>
                                <w:sz w:val="20"/>
                                <w:szCs w:val="20"/>
                              </w:rPr>
                              <w:t>Ritter-Mamczek)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9A8A" id="_x0000_t202" coordsize="21600,21600" o:spt="202" path="m,l,21600r21600,l21600,xe">
                <v:stroke joinstyle="miter"/>
                <v:path gradientshapeok="t" o:connecttype="rect"/>
              </v:shapetype>
              <v:shape id="Textfeld 2" o:spid="_x0000_s1026" type="#_x0000_t202" style="position:absolute;margin-left:3.4pt;margin-top:372.3pt;width:271.8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" filled="f" stroked="f">
                <v:textbox>
                  <w:txbxContent>
                    <w:p w:rsidR="00495C1B" w:rsidRPr="00495C1B" w:rsidRDefault="00495C1B">
                      <w:pPr>
                        <w:rPr>
                          <w:rFonts w:ascii="Arial" w:hAnsi="Arial" w:cs="Arial"/>
                          <w:i/>
                          <w:sz w:val="20"/>
                          <w:szCs w:val="20"/>
                        </w:rPr>
                      </w:pPr>
                      <w:r w:rsidRPr="00495C1B">
                        <w:rPr>
                          <w:rFonts w:ascii="Arial" w:hAnsi="Arial" w:cs="Arial"/>
                          <w:i/>
                          <w:sz w:val="20"/>
                          <w:szCs w:val="20"/>
                        </w:rPr>
                        <w:t xml:space="preserve">Transfer von der Lernsituation in die Lebenswelt der Teilnehmenden. (Bild: </w:t>
                      </w:r>
                      <w:r w:rsidR="00A23AA4">
                        <w:rPr>
                          <w:rFonts w:ascii="Arial" w:hAnsi="Arial" w:cs="Arial"/>
                          <w:i/>
                          <w:sz w:val="20"/>
                          <w:szCs w:val="20"/>
                        </w:rPr>
                        <w:t xml:space="preserve">Copyright </w:t>
                      </w:r>
                      <w:r w:rsidRPr="00495C1B">
                        <w:rPr>
                          <w:rFonts w:ascii="Arial" w:hAnsi="Arial" w:cs="Arial"/>
                          <w:i/>
                          <w:sz w:val="20"/>
                          <w:szCs w:val="20"/>
                        </w:rPr>
                        <w:t>Ritter-Mamczek)</w:t>
                      </w:r>
                    </w:p>
                  </w:txbxContent>
                </v:textbox>
                <w10:wrap type="topAndBottom"/>
              </v:shape>
            </w:pict>
          </mc:Fallback>
        </mc:AlternateContent>
      </w:r>
      <w:r w:rsidR="00A41999">
        <w:rPr>
          <w:noProof/>
          <w:bdr w:val="none" w:sz="0" w:space="0" w:color="auto"/>
        </w:rPr>
        <w:drawing>
          <wp:anchor distT="0" distB="0" distL="114300" distR="114300" simplePos="0" relativeHeight="251660288" behindDoc="0" locked="0" layoutInCell="1" allowOverlap="1" wp14:anchorId="759DDC57" wp14:editId="441AEF24">
            <wp:simplePos x="0" y="0"/>
            <wp:positionH relativeFrom="column">
              <wp:posOffset>-4445</wp:posOffset>
            </wp:positionH>
            <wp:positionV relativeFrom="paragraph">
              <wp:posOffset>3810</wp:posOffset>
            </wp:positionV>
            <wp:extent cx="3451860" cy="465391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fer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860" cy="4653915"/>
                    </a:xfrm>
                    <a:prstGeom prst="rect">
                      <a:avLst/>
                    </a:prstGeom>
                  </pic:spPr>
                </pic:pic>
              </a:graphicData>
            </a:graphic>
            <wp14:sizeRelH relativeFrom="margin">
              <wp14:pctWidth>0</wp14:pctWidth>
            </wp14:sizeRelH>
            <wp14:sizeRelV relativeFrom="margin">
              <wp14:pctHeight>0</wp14:pctHeight>
            </wp14:sizeRelV>
          </wp:anchor>
        </w:drawing>
      </w:r>
      <w:r w:rsidR="003618D3">
        <w:t>Ablauf</w:t>
      </w:r>
    </w:p>
    <w:p w:rsidR="00E467E9" w:rsidRDefault="00E467E9" w:rsidP="00E467E9">
      <w:pPr>
        <w:pStyle w:val="Flietext"/>
      </w:pPr>
      <w:r>
        <w:t>Wann immer Transferfragen auftauchen wechseln Sie als Trainer Ihre Position im Raum und moderieren „von hinten“.</w:t>
      </w:r>
    </w:p>
    <w:p w:rsidR="00E467E9" w:rsidRDefault="00E467E9" w:rsidP="00E467E9">
      <w:pPr>
        <w:pStyle w:val="Flietext"/>
      </w:pPr>
      <w:r>
        <w:t xml:space="preserve">Sichern Sie dabei die Ergebnisse/Erkenntnisse/offenen Fragen als </w:t>
      </w:r>
      <w:proofErr w:type="spellStart"/>
      <w:r>
        <w:t>Reminder</w:t>
      </w:r>
      <w:proofErr w:type="spellEnd"/>
      <w:r>
        <w:t xml:space="preserve"> auf Flipchart/</w:t>
      </w:r>
      <w:r w:rsidR="006879DA">
        <w:t>Pinnwand</w:t>
      </w:r>
      <w:r>
        <w:t>.</w:t>
      </w:r>
    </w:p>
    <w:p w:rsidR="00E467E9" w:rsidRDefault="00E467E9" w:rsidP="00E467E9">
      <w:pPr>
        <w:pStyle w:val="Flietext"/>
      </w:pPr>
      <w:r>
        <w:t xml:space="preserve">Ihre Teilnehmenden bewegen sich dadurch zielführend und „verorten“ den Transfer mit einer Bewegung. Sie lernen ganzheitlicher und gehen die Praxisschritte bereits vorweg in Ihrem Training. Es gelingt plötzlich: Bewegter Körper – bewegter Geist! Sie nutzen „den ganzen Körper“ und geben nebenbei den präsentierten, diskutierten, reflektierten Inhalten eine nachvollziehbare, klare Struktur. Sowohl Ihre </w:t>
      </w:r>
      <w:r>
        <w:lastRenderedPageBreak/>
        <w:t>Teilnehmenden als auch Sie selbst werden davon freudvoll profitieren. Warten Sie</w:t>
      </w:r>
      <w:r w:rsidR="00EC164E">
        <w:t>‘</w:t>
      </w:r>
      <w:r>
        <w:t>s ab und wundern Sie sich nicht, wenn Trainerkollegen plötzlich nach der zweiten Bühne von Ihnen fragen, denn Teilnehmende we</w:t>
      </w:r>
      <w:bookmarkStart w:id="0" w:name="_GoBack"/>
      <w:bookmarkEnd w:id="0"/>
      <w:r>
        <w:t>rden dies blitzschnell auch bei anderen einfordern.</w:t>
      </w:r>
    </w:p>
    <w:p w:rsidR="00E467E9" w:rsidRPr="009F71E6" w:rsidRDefault="00E467E9" w:rsidP="00E467E9">
      <w:pPr>
        <w:pStyle w:val="Zwischenberschrift"/>
      </w:pPr>
      <w:r w:rsidRPr="009F71E6">
        <w:t>Variante(n)</w:t>
      </w:r>
    </w:p>
    <w:p w:rsidR="00E467E9" w:rsidRDefault="00E467E9" w:rsidP="00E467E9">
      <w:pPr>
        <w:pStyle w:val="AufzhlungPunkte"/>
      </w:pPr>
      <w:r>
        <w:t>Wählen Sie einen Co-Moderator aus dem Teilnehmerkreis, der an der Transferwand begleitend die Praxisschritte visualisiert und festhält.</w:t>
      </w:r>
    </w:p>
    <w:p w:rsidR="00E467E9" w:rsidRPr="009F71E6" w:rsidRDefault="00E467E9" w:rsidP="00E467E9">
      <w:pPr>
        <w:pStyle w:val="AufzhlungPunkte"/>
      </w:pPr>
      <w:r>
        <w:t>Schaffen Sie eine dritte oder gar vierte Bühne (entsprechend der Seiten des Seminarraums)</w:t>
      </w:r>
      <w:r w:rsidR="00EC164E">
        <w:t>.</w:t>
      </w:r>
      <w:r>
        <w:t xml:space="preserve"> Nutzen Sie diese Wände für die unterschiedlichen Perspektiven beim Transfer (</w:t>
      </w:r>
      <w:proofErr w:type="spellStart"/>
      <w:r>
        <w:t>z.B</w:t>
      </w:r>
      <w:proofErr w:type="spellEnd"/>
      <w:r>
        <w:t>: 1. ich selbst, 2. meine Führungskraft, 3. mein privates Umfeld)</w:t>
      </w:r>
      <w:r w:rsidR="00EC164E">
        <w:t>.</w:t>
      </w:r>
    </w:p>
    <w:p w:rsidR="00E467E9" w:rsidRPr="009F71E6" w:rsidRDefault="00E467E9" w:rsidP="00E467E9">
      <w:pPr>
        <w:pStyle w:val="Zwischenberschrift"/>
      </w:pPr>
      <w:r w:rsidRPr="009F71E6">
        <w:t>Achtung</w:t>
      </w:r>
    </w:p>
    <w:p w:rsidR="00E467E9" w:rsidRPr="009F71E6" w:rsidRDefault="00E467E9" w:rsidP="00E467E9">
      <w:pPr>
        <w:pStyle w:val="Flietext"/>
      </w:pPr>
      <w:r>
        <w:t>Achten Sie darauf, dass auf der zweiten Bühne konstruktive Vorschläge notiert werden, und die Transferwand nicht nur für Einwände genutzt wird (was so schön bequem ist…)</w:t>
      </w:r>
      <w:r w:rsidR="00EC164E">
        <w:t>.</w:t>
      </w:r>
    </w:p>
    <w:p w:rsidR="00E467E9" w:rsidRPr="009F71E6" w:rsidRDefault="00E467E9" w:rsidP="00E467E9">
      <w:pPr>
        <w:pStyle w:val="Zwischenberschrift"/>
      </w:pPr>
      <w:r w:rsidRPr="009F71E6">
        <w:t>Tipps</w:t>
      </w:r>
    </w:p>
    <w:p w:rsidR="00E467E9" w:rsidRDefault="00E467E9" w:rsidP="00E467E9">
      <w:pPr>
        <w:pStyle w:val="Flietext"/>
      </w:pPr>
      <w:r>
        <w:t>Lassen Sie Ihre Teilnehmenden von Zeit zu Zeit den Schritt in die Praxis wirklich gehen, in dem Sie von vorne nach hinten zur zweiten Bühne laufen.</w:t>
      </w:r>
    </w:p>
    <w:p w:rsidR="005B0507" w:rsidRDefault="003E2144" w:rsidP="005B0507">
      <w:pPr>
        <w:pStyle w:val="Flietext"/>
        <w:rPr>
          <w:i/>
          <w:sz w:val="20"/>
          <w:szCs w:val="20"/>
        </w:rPr>
      </w:pPr>
      <w:r>
        <w:rPr>
          <w:noProof/>
        </w:rPr>
        <w:drawing>
          <wp:anchor distT="0" distB="0" distL="114300" distR="114300" simplePos="0" relativeHeight="251659264" behindDoc="0" locked="0" layoutInCell="1" allowOverlap="1" wp14:anchorId="60760018" wp14:editId="29EE71BC">
            <wp:simplePos x="0" y="0"/>
            <wp:positionH relativeFrom="column">
              <wp:posOffset>0</wp:posOffset>
            </wp:positionH>
            <wp:positionV relativeFrom="paragraph">
              <wp:posOffset>328295</wp:posOffset>
            </wp:positionV>
            <wp:extent cx="2914015" cy="2103120"/>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015" cy="2103120"/>
                    </a:xfrm>
                    <a:prstGeom prst="rect">
                      <a:avLst/>
                    </a:prstGeom>
                    <a:noFill/>
                  </pic:spPr>
                </pic:pic>
              </a:graphicData>
            </a:graphic>
            <wp14:sizeRelH relativeFrom="page">
              <wp14:pctWidth>0</wp14:pctWidth>
            </wp14:sizeRelH>
            <wp14:sizeRelV relativeFrom="page">
              <wp14:pctHeight>0</wp14:pctHeight>
            </wp14:sizeRelV>
          </wp:anchor>
        </w:drawing>
      </w:r>
      <w:r w:rsidR="005B0507">
        <w:rPr>
          <w:i/>
          <w:sz w:val="20"/>
          <w:szCs w:val="20"/>
        </w:rPr>
        <w:t xml:space="preserve">Dr. Bettina Ritter-Mamczek, Autorin, Trainerin und Moderatorin aus Leidenschaft studierte Kommunikationswissenschaften, Politikwissenschaften und Philosophie an der TU Berlin. Ihren Erfahrungsschatz sammelte sie in ihrer langjährigen Tätigkeit als Selbstständige und Geschäftsführerin der </w:t>
      </w:r>
      <w:proofErr w:type="spellStart"/>
      <w:r w:rsidR="005B0507">
        <w:rPr>
          <w:i/>
          <w:sz w:val="20"/>
          <w:szCs w:val="20"/>
        </w:rPr>
        <w:t>splendid</w:t>
      </w:r>
      <w:proofErr w:type="spellEnd"/>
      <w:r w:rsidR="005B0507">
        <w:rPr>
          <w:i/>
          <w:sz w:val="20"/>
          <w:szCs w:val="20"/>
        </w:rPr>
        <w:t>-akademie</w:t>
      </w:r>
      <w:r w:rsidR="00EC164E">
        <w:rPr>
          <w:i/>
          <w:sz w:val="20"/>
          <w:szCs w:val="20"/>
        </w:rPr>
        <w:t xml:space="preserve"> GmbH</w:t>
      </w:r>
      <w:r w:rsidR="005B0507">
        <w:rPr>
          <w:i/>
          <w:sz w:val="20"/>
          <w:szCs w:val="20"/>
        </w:rPr>
        <w:t>, Berlin. Getreu dem Motto „Lernen ist Ein- und Ausatmen“ integriert sie ihre Teilnehmende</w:t>
      </w:r>
      <w:r w:rsidR="00EC164E">
        <w:rPr>
          <w:i/>
          <w:sz w:val="20"/>
          <w:szCs w:val="20"/>
        </w:rPr>
        <w:t>n</w:t>
      </w:r>
      <w:r w:rsidR="005B0507">
        <w:rPr>
          <w:i/>
          <w:sz w:val="20"/>
          <w:szCs w:val="20"/>
        </w:rPr>
        <w:t xml:space="preserve"> in das Geschehen und entfacht das Feuer in ihnen mit Lust auf mehr. Transfersicherung geschieht somit vom ersten Augenblick in jedem Training, und dies nicht nur in der </w:t>
      </w:r>
      <w:proofErr w:type="spellStart"/>
      <w:r w:rsidR="005B0507">
        <w:rPr>
          <w:i/>
          <w:sz w:val="20"/>
          <w:szCs w:val="20"/>
        </w:rPr>
        <w:t>splendid</w:t>
      </w:r>
      <w:proofErr w:type="spellEnd"/>
      <w:r w:rsidR="005B0507">
        <w:rPr>
          <w:i/>
          <w:sz w:val="20"/>
          <w:szCs w:val="20"/>
        </w:rPr>
        <w:t xml:space="preserve"> Trainingskompetenz-Ausbildung! Schauen Sie selbst: </w:t>
      </w:r>
      <w:hyperlink r:id="rId10" w:history="1">
        <w:r w:rsidR="005B0507">
          <w:rPr>
            <w:rStyle w:val="Hyperlink"/>
            <w:i/>
            <w:sz w:val="20"/>
            <w:szCs w:val="20"/>
          </w:rPr>
          <w:t>www.splendid-akademie.de</w:t>
        </w:r>
      </w:hyperlink>
      <w:r w:rsidR="005B0507">
        <w:rPr>
          <w:i/>
          <w:sz w:val="20"/>
          <w:szCs w:val="20"/>
        </w:rPr>
        <w:t xml:space="preserve"> </w:t>
      </w:r>
    </w:p>
    <w:p w:rsidR="000A2639" w:rsidRPr="009F71E6" w:rsidRDefault="000A2639" w:rsidP="00E467E9">
      <w:pPr>
        <w:pStyle w:val="Flietext"/>
      </w:pPr>
      <w:r>
        <w:rPr>
          <w:i/>
          <w:sz w:val="20"/>
          <w:szCs w:val="20"/>
        </w:rPr>
        <w:t xml:space="preserve">Andrea Lederer ist Mitgeschäftsführerin der </w:t>
      </w:r>
      <w:proofErr w:type="spellStart"/>
      <w:r>
        <w:rPr>
          <w:i/>
          <w:sz w:val="20"/>
          <w:szCs w:val="20"/>
        </w:rPr>
        <w:t>splendid</w:t>
      </w:r>
      <w:proofErr w:type="spellEnd"/>
      <w:r>
        <w:rPr>
          <w:i/>
          <w:sz w:val="20"/>
          <w:szCs w:val="20"/>
        </w:rPr>
        <w:t>-akademie GmbH und arbeitet als Projektmanagerin, Trainerin und Lehrbeauftragte. Sie trainiert und begleitet sei 15 Jahren Gruppen und Teams zu den Schwerpunkten Projektmanagement, Gruppen und Teams leiten/führen/moderieren, Selbst- und Zeitmanagement und Lerntransfer.</w:t>
      </w:r>
    </w:p>
    <w:sectPr w:rsidR="000A2639" w:rsidRPr="009F71E6"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1F" w:rsidRDefault="00190C1F" w:rsidP="00014AE4">
      <w:pPr>
        <w:spacing w:after="0" w:line="240" w:lineRule="auto"/>
      </w:pPr>
      <w:r>
        <w:separator/>
      </w:r>
    </w:p>
  </w:endnote>
  <w:endnote w:type="continuationSeparator" w:id="0">
    <w:p w:rsidR="00190C1F" w:rsidRDefault="00190C1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E9" w:rsidRDefault="00E467E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467E9" w:rsidRDefault="00E467E9" w:rsidP="00DB4FF9">
    <w:pPr>
      <w:autoSpaceDE w:val="0"/>
      <w:autoSpaceDN w:val="0"/>
      <w:adjustRightInd w:val="0"/>
      <w:spacing w:after="0" w:line="240" w:lineRule="auto"/>
      <w:rPr>
        <w:rFonts w:ascii="DINPro" w:hAnsi="DINPro" w:cs="DINPro"/>
        <w:color w:val="333333"/>
        <w:sz w:val="16"/>
        <w:szCs w:val="16"/>
      </w:rPr>
    </w:pPr>
  </w:p>
  <w:p w:rsidR="00E467E9" w:rsidRDefault="00E467E9" w:rsidP="00DB4FF9">
    <w:pPr>
      <w:autoSpaceDE w:val="0"/>
      <w:autoSpaceDN w:val="0"/>
      <w:adjustRightInd w:val="0"/>
      <w:spacing w:after="0" w:line="240" w:lineRule="auto"/>
      <w:rPr>
        <w:rFonts w:ascii="DINPro" w:hAnsi="DINPro" w:cs="DINPro"/>
        <w:color w:val="333333"/>
        <w:sz w:val="16"/>
        <w:szCs w:val="16"/>
      </w:rPr>
    </w:pPr>
  </w:p>
  <w:p w:rsidR="00E467E9" w:rsidRPr="00DB4FF9" w:rsidRDefault="00E467E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6652A6">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1F" w:rsidRDefault="00190C1F" w:rsidP="00014AE4">
      <w:pPr>
        <w:spacing w:after="0" w:line="240" w:lineRule="auto"/>
      </w:pPr>
      <w:r>
        <w:separator/>
      </w:r>
    </w:p>
  </w:footnote>
  <w:footnote w:type="continuationSeparator" w:id="0">
    <w:p w:rsidR="00190C1F" w:rsidRDefault="00190C1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E9" w:rsidRDefault="00E467E9">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467E9" w:rsidRPr="00AC2223" w:rsidRDefault="000E7A36" w:rsidP="00C93D17">
                          <w:pPr>
                            <w:jc w:val="right"/>
                            <w:rPr>
                              <w:rFonts w:ascii="Arial" w:hAnsi="Arial" w:cs="Arial"/>
                              <w:i/>
                              <w:sz w:val="18"/>
                              <w:szCs w:val="18"/>
                            </w:rPr>
                          </w:pPr>
                          <w:hyperlink r:id="rId2" w:history="1">
                            <w:r w:rsidR="00E467E9" w:rsidRPr="006652A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467E9" w:rsidRPr="00AC2223" w:rsidRDefault="00190C1F" w:rsidP="00C93D17">
                    <w:pPr>
                      <w:jc w:val="right"/>
                      <w:rPr>
                        <w:rFonts w:ascii="Arial" w:hAnsi="Arial" w:cs="Arial"/>
                        <w:i/>
                        <w:sz w:val="18"/>
                        <w:szCs w:val="18"/>
                      </w:rPr>
                    </w:pPr>
                    <w:hyperlink r:id="rId3" w:history="1">
                      <w:r w:rsidR="00E467E9" w:rsidRPr="006652A6">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D3F"/>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BE5C13"/>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63E6"/>
    <w:rsid w:val="000A2639"/>
    <w:rsid w:val="000A44F1"/>
    <w:rsid w:val="000E4BEB"/>
    <w:rsid w:val="000E5A0E"/>
    <w:rsid w:val="000E7A36"/>
    <w:rsid w:val="0017476E"/>
    <w:rsid w:val="00190C1F"/>
    <w:rsid w:val="00206FAA"/>
    <w:rsid w:val="0022296F"/>
    <w:rsid w:val="002F72A0"/>
    <w:rsid w:val="00333725"/>
    <w:rsid w:val="003618D3"/>
    <w:rsid w:val="003E2144"/>
    <w:rsid w:val="0048036C"/>
    <w:rsid w:val="00495C1B"/>
    <w:rsid w:val="004A33CC"/>
    <w:rsid w:val="00506977"/>
    <w:rsid w:val="00527C57"/>
    <w:rsid w:val="00537DF5"/>
    <w:rsid w:val="00574BEB"/>
    <w:rsid w:val="005B0507"/>
    <w:rsid w:val="005B2946"/>
    <w:rsid w:val="005C0361"/>
    <w:rsid w:val="0061648F"/>
    <w:rsid w:val="00621195"/>
    <w:rsid w:val="006246A2"/>
    <w:rsid w:val="00635D7A"/>
    <w:rsid w:val="006652A6"/>
    <w:rsid w:val="006879DA"/>
    <w:rsid w:val="006D5D2F"/>
    <w:rsid w:val="006E6712"/>
    <w:rsid w:val="00723B4B"/>
    <w:rsid w:val="00745EE5"/>
    <w:rsid w:val="0074684B"/>
    <w:rsid w:val="007930AE"/>
    <w:rsid w:val="007B59B9"/>
    <w:rsid w:val="00817012"/>
    <w:rsid w:val="00862F3E"/>
    <w:rsid w:val="008C1D48"/>
    <w:rsid w:val="00913C77"/>
    <w:rsid w:val="0095483E"/>
    <w:rsid w:val="00A23AA4"/>
    <w:rsid w:val="00A41999"/>
    <w:rsid w:val="00A651A5"/>
    <w:rsid w:val="00A669B5"/>
    <w:rsid w:val="00A7652F"/>
    <w:rsid w:val="00AC2223"/>
    <w:rsid w:val="00B01655"/>
    <w:rsid w:val="00B11ED0"/>
    <w:rsid w:val="00B27E74"/>
    <w:rsid w:val="00B70DAA"/>
    <w:rsid w:val="00BC2391"/>
    <w:rsid w:val="00C07190"/>
    <w:rsid w:val="00C3075E"/>
    <w:rsid w:val="00C32A15"/>
    <w:rsid w:val="00C675B9"/>
    <w:rsid w:val="00C93D17"/>
    <w:rsid w:val="00D17A67"/>
    <w:rsid w:val="00DB4FF9"/>
    <w:rsid w:val="00E056E0"/>
    <w:rsid w:val="00E24F8F"/>
    <w:rsid w:val="00E467E9"/>
    <w:rsid w:val="00E53294"/>
    <w:rsid w:val="00E5546C"/>
    <w:rsid w:val="00E678F7"/>
    <w:rsid w:val="00E84DD0"/>
    <w:rsid w:val="00EC164E"/>
    <w:rsid w:val="00ED0DBD"/>
    <w:rsid w:val="00ED65AA"/>
    <w:rsid w:val="00EF7101"/>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B59B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B59B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6652A6"/>
    <w:rPr>
      <w:color w:val="0000FF" w:themeColor="hyperlink"/>
      <w:u w:val="single"/>
    </w:rPr>
  </w:style>
  <w:style w:type="paragraph" w:styleId="StandardWeb">
    <w:name w:val="Normal (Web)"/>
    <w:basedOn w:val="Standard"/>
    <w:rsid w:val="007B5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7B5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01077">
      <w:bodyDiv w:val="1"/>
      <w:marLeft w:val="0"/>
      <w:marRight w:val="0"/>
      <w:marTop w:val="0"/>
      <w:marBottom w:val="0"/>
      <w:divBdr>
        <w:top w:val="none" w:sz="0" w:space="0" w:color="auto"/>
        <w:left w:val="none" w:sz="0" w:space="0" w:color="auto"/>
        <w:bottom w:val="none" w:sz="0" w:space="0" w:color="auto"/>
        <w:right w:val="none" w:sz="0" w:space="0" w:color="auto"/>
      </w:divBdr>
    </w:div>
    <w:div w:id="19288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lendid-akademi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C35A-F4E5-4FEA-AD92-96EA48F4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4E119071.dotm</Template>
  <TotalTime>0</TotalTime>
  <Pages>3</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2015-10-16T06:50:00Z</cp:lastPrinted>
  <dcterms:created xsi:type="dcterms:W3CDTF">2016-03-22T08:10:00Z</dcterms:created>
  <dcterms:modified xsi:type="dcterms:W3CDTF">2016-04-18T09:22:00Z</dcterms:modified>
</cp:coreProperties>
</file>