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46" w:rsidRDefault="00B02C46" w:rsidP="00B02C46">
      <w:pPr>
        <w:pStyle w:val="Materialtyp1"/>
      </w:pPr>
      <w:r>
        <w:t>Handlungsanleitung</w:t>
      </w:r>
    </w:p>
    <w:p w:rsidR="007111CD" w:rsidRDefault="007111CD" w:rsidP="007111CD">
      <w:pPr>
        <w:pStyle w:val="Headline"/>
      </w:pPr>
      <w:r w:rsidRPr="007111CD">
        <w:t>Think</w:t>
      </w:r>
      <w:r w:rsidR="006D07AF">
        <w:t>-</w:t>
      </w:r>
      <w:r w:rsidRPr="007111CD">
        <w:t>Pair</w:t>
      </w:r>
      <w:r w:rsidR="006D07AF">
        <w:t>-</w:t>
      </w:r>
      <w:r w:rsidRPr="007111CD">
        <w:t>Share</w:t>
      </w:r>
    </w:p>
    <w:p w:rsidR="007111CD" w:rsidRDefault="007111CD" w:rsidP="007111CD">
      <w:pPr>
        <w:pStyle w:val="Teaser"/>
      </w:pPr>
      <w:r w:rsidRPr="007111CD">
        <w:t xml:space="preserve">Die Methode </w:t>
      </w:r>
      <w:r w:rsidRPr="007111CD">
        <w:rPr>
          <w:bCs/>
        </w:rPr>
        <w:t>"Think-Pair</w:t>
      </w:r>
      <w:r w:rsidR="006D07AF">
        <w:rPr>
          <w:bCs/>
        </w:rPr>
        <w:t>-</w:t>
      </w:r>
      <w:r w:rsidRPr="007111CD">
        <w:rPr>
          <w:bCs/>
        </w:rPr>
        <w:t>Share"</w:t>
      </w:r>
      <w:r w:rsidRPr="007111CD">
        <w:t xml:space="preserve"> ist den kooperativen Lernmethoden zuzuordnen. </w:t>
      </w:r>
      <w:r>
        <w:t xml:space="preserve">Frei übersetzen könnte man sie so: "Nachdenken (alleine) - austauschen (zu zweit) - (mit-)teilen (in der Großgruppe)“  </w:t>
      </w:r>
    </w:p>
    <w:p w:rsidR="00F02E0F" w:rsidRDefault="00F02E0F" w:rsidP="004E5865">
      <w:pPr>
        <w:pStyle w:val="Flietext"/>
        <w:pBdr>
          <w:top w:val="single" w:sz="4" w:space="1" w:color="auto"/>
          <w:left w:val="single" w:sz="4" w:space="1" w:color="auto"/>
          <w:bottom w:val="single" w:sz="4" w:space="0" w:color="auto"/>
          <w:right w:val="single" w:sz="4" w:space="1" w:color="auto"/>
        </w:pBdr>
      </w:pPr>
      <w:r w:rsidRPr="00F02E0F">
        <w:rPr>
          <w:rFonts w:eastAsia="Times New Roman"/>
          <w:b/>
          <w:bCs/>
        </w:rPr>
        <w:t>Ziel:</w:t>
      </w:r>
      <w:r w:rsidRPr="007576C2">
        <w:rPr>
          <w:rFonts w:eastAsia="Times New Roman"/>
          <w:b/>
          <w:bCs/>
        </w:rPr>
        <w:t xml:space="preserve"> </w:t>
      </w:r>
      <w:r w:rsidR="007111CD">
        <w:t>Wissen aneignen, an vorhandenes Wissen anschließen, kooperatives Lernen</w:t>
      </w:r>
    </w:p>
    <w:p w:rsidR="00F02E0F" w:rsidRPr="00F02E0F" w:rsidRDefault="00F02E0F" w:rsidP="004E5865">
      <w:pPr>
        <w:pStyle w:val="Flietext"/>
        <w:pBdr>
          <w:top w:val="single" w:sz="4" w:space="1" w:color="auto"/>
          <w:left w:val="single" w:sz="4" w:space="1" w:color="auto"/>
          <w:bottom w:val="single" w:sz="4" w:space="0" w:color="auto"/>
          <w:right w:val="single" w:sz="4" w:space="1" w:color="auto"/>
        </w:pBdr>
        <w:rPr>
          <w:rFonts w:eastAsia="Times New Roman"/>
          <w:bCs/>
          <w:szCs w:val="24"/>
        </w:rPr>
      </w:pPr>
      <w:r w:rsidRPr="007576C2">
        <w:rPr>
          <w:rFonts w:eastAsia="Times New Roman"/>
          <w:b/>
          <w:bCs/>
          <w:szCs w:val="24"/>
        </w:rPr>
        <w:t xml:space="preserve">Benötigtes Material: </w:t>
      </w:r>
      <w:r w:rsidR="00221777" w:rsidRPr="00221777">
        <w:rPr>
          <w:rFonts w:eastAsia="Times New Roman"/>
          <w:bCs/>
          <w:szCs w:val="24"/>
        </w:rPr>
        <w:t>Je nach Aufgabenstellung</w:t>
      </w:r>
    </w:p>
    <w:p w:rsidR="002C1E13" w:rsidRDefault="00F02E0F" w:rsidP="004E5865">
      <w:pPr>
        <w:pStyle w:val="Flietext"/>
        <w:pBdr>
          <w:top w:val="single" w:sz="4" w:space="1" w:color="auto"/>
          <w:left w:val="single" w:sz="4" w:space="1" w:color="auto"/>
          <w:bottom w:val="single" w:sz="4" w:space="0" w:color="auto"/>
          <w:right w:val="single" w:sz="4" w:space="1" w:color="auto"/>
        </w:pBdr>
      </w:pPr>
      <w:r w:rsidRPr="007576C2">
        <w:rPr>
          <w:rFonts w:eastAsia="Times New Roman"/>
          <w:b/>
          <w:bCs/>
          <w:szCs w:val="24"/>
        </w:rPr>
        <w:t>Dauer:</w:t>
      </w:r>
      <w:r w:rsidR="007111CD">
        <w:rPr>
          <w:rFonts w:eastAsia="Times New Roman"/>
          <w:b/>
          <w:bCs/>
          <w:szCs w:val="24"/>
        </w:rPr>
        <w:t xml:space="preserve"> </w:t>
      </w:r>
      <w:r w:rsidR="00221777" w:rsidRPr="00221777">
        <w:rPr>
          <w:rFonts w:eastAsia="Times New Roman"/>
          <w:bCs/>
          <w:szCs w:val="24"/>
        </w:rPr>
        <w:t>Je nach Aufgabenstellung</w:t>
      </w:r>
      <w:bookmarkStart w:id="0" w:name="_GoBack"/>
      <w:bookmarkEnd w:id="0"/>
    </w:p>
    <w:p w:rsidR="002C1E13" w:rsidRDefault="006D07AF" w:rsidP="007111CD">
      <w:pPr>
        <w:pStyle w:val="Flietext"/>
      </w:pPr>
      <w:r>
        <w:t xml:space="preserve">Bei dieser Methode </w:t>
      </w:r>
      <w:r w:rsidR="002C1E13">
        <w:t xml:space="preserve">geht darum, sich zuerst individuell mit einem Thema oder einer Aufgabenstellung auseinanderzusetzen. Danach werden die ersten eigenen Erkenntnisse innerhalb einer Zweiergruppe ausgetauscht, um sie abschließend mit der gesamten Gruppe zu sammeln oder sie zu diskutieren. Auf diesem Weg gelangt eine Gruppe zu einer großen Bandbreite an Ideen und Lösungen. </w:t>
      </w:r>
    </w:p>
    <w:p w:rsidR="002C1E13" w:rsidRDefault="002C1E13" w:rsidP="007111CD">
      <w:pPr>
        <w:pStyle w:val="Flietext"/>
      </w:pPr>
      <w:r>
        <w:t xml:space="preserve">Nachfolgend </w:t>
      </w:r>
      <w:r w:rsidR="006D07AF">
        <w:t xml:space="preserve">ist ein </w:t>
      </w:r>
      <w:r>
        <w:t>einfache</w:t>
      </w:r>
      <w:r w:rsidR="006D07AF">
        <w:t>s</w:t>
      </w:r>
      <w:r>
        <w:t xml:space="preserve"> Beispiele für die "Think Pair Share - Methode" zu lesen. </w:t>
      </w:r>
    </w:p>
    <w:p w:rsidR="002C1E13" w:rsidRDefault="002C1E13" w:rsidP="007111CD">
      <w:pPr>
        <w:pStyle w:val="Flietext"/>
      </w:pPr>
      <w:r>
        <w:t xml:space="preserve">In der Großgruppe werden Ergebnisse gezeigt und Lösungen präsentiert und ggf. diskutiert. Vorteil ist hier: wenn auch nur ein Kind, bzw. eine Zweiergruppe der Klasse die Lösung gefunden hat, kann nun die gesamte Gruppe davon profitieren. </w:t>
      </w:r>
    </w:p>
    <w:p w:rsidR="002C1E13" w:rsidRDefault="006D07AF" w:rsidP="006D07AF">
      <w:pPr>
        <w:pStyle w:val="Zwischenberschrift"/>
      </w:pPr>
      <w:r>
        <w:t xml:space="preserve">Beispiel </w:t>
      </w:r>
      <w:r w:rsidR="002C1E13">
        <w:t>Textarbeit</w:t>
      </w:r>
    </w:p>
    <w:p w:rsidR="002C1E13" w:rsidRDefault="002C1E13" w:rsidP="007111CD">
      <w:pPr>
        <w:pStyle w:val="Flietext"/>
      </w:pPr>
      <w:r>
        <w:t xml:space="preserve">Im Rahmen der Textarbeit erhalten die </w:t>
      </w:r>
      <w:r w:rsidR="006D07AF">
        <w:t>Teilnehmenden</w:t>
      </w:r>
      <w:r>
        <w:t xml:space="preserve"> einen </w:t>
      </w:r>
      <w:r w:rsidR="006D07AF">
        <w:t>Text</w:t>
      </w:r>
      <w:r>
        <w:t xml:space="preserve"> und Fragen dazu mit dem Auftrag, diese zu beantworten. </w:t>
      </w:r>
    </w:p>
    <w:p w:rsidR="002C1E13" w:rsidRDefault="002C1E13" w:rsidP="007111CD">
      <w:pPr>
        <w:pStyle w:val="Flietext"/>
      </w:pPr>
      <w:r>
        <w:rPr>
          <w:b/>
          <w:bCs/>
        </w:rPr>
        <w:t>Think!</w:t>
      </w:r>
      <w:r>
        <w:t xml:space="preserve"> </w:t>
      </w:r>
    </w:p>
    <w:p w:rsidR="002C1E13" w:rsidRDefault="002C1E13" w:rsidP="007111CD">
      <w:pPr>
        <w:pStyle w:val="Flietext"/>
      </w:pPr>
      <w:r>
        <w:t xml:space="preserve">Jeder </w:t>
      </w:r>
      <w:r w:rsidR="006D07AF">
        <w:t>Teilnehmende</w:t>
      </w:r>
      <w:r>
        <w:t xml:space="preserve"> liest den Text zunächst leise für sich selbst. </w:t>
      </w:r>
    </w:p>
    <w:p w:rsidR="002C1E13" w:rsidRDefault="002C1E13" w:rsidP="007111CD">
      <w:pPr>
        <w:pStyle w:val="Flietext"/>
      </w:pPr>
      <w:r>
        <w:rPr>
          <w:b/>
          <w:bCs/>
        </w:rPr>
        <w:t>Pair!</w:t>
      </w:r>
      <w:r>
        <w:t xml:space="preserve"> </w:t>
      </w:r>
    </w:p>
    <w:p w:rsidR="002C1E13" w:rsidRDefault="002C1E13" w:rsidP="007111CD">
      <w:pPr>
        <w:pStyle w:val="Flietext"/>
      </w:pPr>
      <w:r>
        <w:t xml:space="preserve">Gemeinsam beschäftigen sich die </w:t>
      </w:r>
      <w:r w:rsidR="006D07AF">
        <w:t>Teilnehmenden</w:t>
      </w:r>
      <w:r>
        <w:t xml:space="preserve"> mit den Fragen und beantworten sie. </w:t>
      </w:r>
    </w:p>
    <w:p w:rsidR="002C1E13" w:rsidRDefault="002C1E13" w:rsidP="007111CD">
      <w:pPr>
        <w:pStyle w:val="Flietext"/>
      </w:pPr>
      <w:r>
        <w:rPr>
          <w:b/>
          <w:bCs/>
        </w:rPr>
        <w:t>Share!</w:t>
      </w:r>
      <w:r>
        <w:t xml:space="preserve"> </w:t>
      </w:r>
    </w:p>
    <w:p w:rsidR="002C1E13" w:rsidRDefault="006D07AF" w:rsidP="007111CD">
      <w:pPr>
        <w:pStyle w:val="Flietext"/>
      </w:pPr>
      <w:r>
        <w:t xml:space="preserve">Im Plenum </w:t>
      </w:r>
      <w:r w:rsidR="002C1E13">
        <w:t xml:space="preserve">werden die Antworten dazu vorgestellt und besprochen. </w:t>
      </w:r>
    </w:p>
    <w:p w:rsidR="002C1E13" w:rsidRDefault="004E68F3" w:rsidP="007111CD">
      <w:pPr>
        <w:pStyle w:val="Flietext"/>
      </w:pPr>
      <w:r>
        <w:rPr>
          <w:b/>
          <w:bCs/>
          <w:sz w:val="27"/>
          <w:szCs w:val="27"/>
        </w:rPr>
        <w:lastRenderedPageBreak/>
        <w:t>Vorteile der Methode</w:t>
      </w:r>
    </w:p>
    <w:p w:rsidR="002C1E13" w:rsidRDefault="006D07AF" w:rsidP="006D07AF">
      <w:pPr>
        <w:pStyle w:val="AufzhlungPunkte"/>
      </w:pPr>
      <w:r>
        <w:t>Das Prinzip ist sehr einfach.</w:t>
      </w:r>
      <w:r w:rsidR="002C1E13">
        <w:t xml:space="preserve"> </w:t>
      </w:r>
    </w:p>
    <w:p w:rsidR="002C1E13" w:rsidRDefault="002C1E13" w:rsidP="006D07AF">
      <w:pPr>
        <w:pStyle w:val="AufzhlungPunkte"/>
      </w:pPr>
      <w:r>
        <w:t xml:space="preserve">Der Materialaufwand ist gering - man benötigt nur die Materialien, die für den Unterricht ohnehin nötig sind </w:t>
      </w:r>
    </w:p>
    <w:p w:rsidR="002C1E13" w:rsidRDefault="002C1E13" w:rsidP="006D07AF">
      <w:pPr>
        <w:pStyle w:val="AufzhlungPunkte"/>
      </w:pPr>
      <w:r>
        <w:t xml:space="preserve">Die Vorgehensweise für die einzelnen Phasen kann man sehr individuell gestalten, somit ist die Methode beinah für jede Aufgabenstellung nutzbar </w:t>
      </w:r>
    </w:p>
    <w:p w:rsidR="002C1E13" w:rsidRDefault="002C1E13" w:rsidP="006D07AF">
      <w:pPr>
        <w:pStyle w:val="AufzhlungPunkte"/>
      </w:pPr>
      <w:r>
        <w:t>Jede</w:t>
      </w:r>
      <w:r w:rsidR="006D07AF">
        <w:t>r Teilnehmende</w:t>
      </w:r>
      <w:r>
        <w:t xml:space="preserve"> setzt sich bereits selberständig mit dem Unterrichtsinhalt auseinander, wodurch es in der Kleingruppe ohne Probleme zu einem Austausch kommt. Vielen </w:t>
      </w:r>
      <w:r w:rsidR="006D07AF">
        <w:t>Teilnehmenden</w:t>
      </w:r>
      <w:r>
        <w:t xml:space="preserve"> fällt es danach außerdem leichter, sich in der Großgruppe zu äußern. </w:t>
      </w:r>
    </w:p>
    <w:p w:rsidR="002C1E13" w:rsidRDefault="004E68F3" w:rsidP="007111CD">
      <w:pPr>
        <w:pStyle w:val="Flietext"/>
      </w:pPr>
      <w:r>
        <w:rPr>
          <w:b/>
          <w:bCs/>
          <w:sz w:val="27"/>
          <w:szCs w:val="27"/>
        </w:rPr>
        <w:t>Variation</w:t>
      </w:r>
    </w:p>
    <w:p w:rsidR="002C1E13" w:rsidRDefault="002C1E13" w:rsidP="007111CD">
      <w:pPr>
        <w:pStyle w:val="Flietext"/>
      </w:pPr>
      <w:r>
        <w:t xml:space="preserve">Es ist möglich einen Zwischenschritt - </w:t>
      </w:r>
      <w:r w:rsidRPr="006D07AF">
        <w:rPr>
          <w:b/>
        </w:rPr>
        <w:t>Square</w:t>
      </w:r>
      <w:r>
        <w:t xml:space="preserve"> - einzubauen. Das bedeutet, nach der zweiten Phase, </w:t>
      </w:r>
      <w:r w:rsidR="006D07AF">
        <w:t>tauscht</w:t>
      </w:r>
      <w:r>
        <w:t xml:space="preserve"> man sich zusätzlich am Gruppentisch aus. </w:t>
      </w:r>
    </w:p>
    <w:p w:rsidR="004E68F3" w:rsidRDefault="004E68F3" w:rsidP="007111CD">
      <w:pPr>
        <w:pStyle w:val="Flietext"/>
        <w:rPr>
          <w:i/>
        </w:rPr>
      </w:pPr>
      <w:r w:rsidRPr="004E68F3">
        <w:rPr>
          <w:b/>
          <w:bCs/>
          <w:sz w:val="27"/>
          <w:szCs w:val="27"/>
        </w:rPr>
        <w:t>Quelle</w:t>
      </w:r>
    </w:p>
    <w:p w:rsidR="004E68F3" w:rsidRPr="004E68F3" w:rsidRDefault="004E68F3" w:rsidP="007111CD">
      <w:pPr>
        <w:pStyle w:val="Flietext"/>
        <w:rPr>
          <w:i/>
        </w:rPr>
      </w:pPr>
      <w:r w:rsidRPr="004E68F3">
        <w:rPr>
          <w:i/>
        </w:rPr>
        <w:t>Gefunden auf</w:t>
      </w:r>
      <w:r w:rsidR="00DF396A">
        <w:rPr>
          <w:i/>
        </w:rPr>
        <w:t xml:space="preserve"> </w:t>
      </w:r>
      <w:hyperlink r:id="rId8" w:anchor="mw-navigation" w:history="1">
        <w:r w:rsidR="00DF396A" w:rsidRPr="00DF396A">
          <w:rPr>
            <w:rStyle w:val="Hyperlink"/>
            <w:i/>
          </w:rPr>
          <w:t xml:space="preserve">Grundschullehrerportal </w:t>
        </w:r>
      </w:hyperlink>
      <w:r w:rsidRPr="004E68F3">
        <w:rPr>
          <w:i/>
        </w:rPr>
        <w:t xml:space="preserve">unter </w:t>
      </w:r>
      <w:hyperlink r:id="rId9" w:history="1">
        <w:r w:rsidRPr="004E68F3">
          <w:rPr>
            <w:rStyle w:val="Hyperlink"/>
            <w:i/>
          </w:rPr>
          <w:t>CC BY-SA 30.DE</w:t>
        </w:r>
      </w:hyperlink>
    </w:p>
    <w:p w:rsidR="004E68F3" w:rsidRDefault="004E68F3" w:rsidP="007111CD">
      <w:pPr>
        <w:pStyle w:val="Flietext"/>
      </w:pPr>
    </w:p>
    <w:sectPr w:rsidR="004E68F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CD" w:rsidRDefault="007111CD" w:rsidP="00014AE4">
      <w:pPr>
        <w:spacing w:after="0" w:line="240" w:lineRule="auto"/>
      </w:pPr>
      <w:r>
        <w:separator/>
      </w:r>
    </w:p>
  </w:endnote>
  <w:endnote w:type="continuationSeparator" w:id="0">
    <w:p w:rsidR="007111CD" w:rsidRDefault="007111C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CD" w:rsidRDefault="007111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CD" w:rsidRDefault="007111C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7111CD" w:rsidRDefault="007111CD" w:rsidP="00DB4FF9">
    <w:pPr>
      <w:autoSpaceDE w:val="0"/>
      <w:autoSpaceDN w:val="0"/>
      <w:adjustRightInd w:val="0"/>
      <w:spacing w:after="0" w:line="240" w:lineRule="auto"/>
      <w:rPr>
        <w:rFonts w:ascii="DINPro" w:hAnsi="DINPro" w:cs="DINPro"/>
        <w:color w:val="333333"/>
        <w:sz w:val="16"/>
        <w:szCs w:val="16"/>
      </w:rPr>
    </w:pPr>
  </w:p>
  <w:p w:rsidR="007111CD" w:rsidRDefault="007111CD" w:rsidP="00DB4FF9">
    <w:pPr>
      <w:autoSpaceDE w:val="0"/>
      <w:autoSpaceDN w:val="0"/>
      <w:adjustRightInd w:val="0"/>
      <w:spacing w:after="0" w:line="240" w:lineRule="auto"/>
      <w:rPr>
        <w:rFonts w:ascii="DINPro" w:hAnsi="DINPro" w:cs="DINPro"/>
        <w:color w:val="333333"/>
        <w:sz w:val="16"/>
        <w:szCs w:val="16"/>
      </w:rPr>
    </w:pPr>
  </w:p>
  <w:p w:rsidR="007111CD" w:rsidRPr="00DB4FF9" w:rsidRDefault="007111C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CD" w:rsidRDefault="007111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CD" w:rsidRDefault="007111CD" w:rsidP="00014AE4">
      <w:pPr>
        <w:spacing w:after="0" w:line="240" w:lineRule="auto"/>
      </w:pPr>
      <w:r>
        <w:separator/>
      </w:r>
    </w:p>
  </w:footnote>
  <w:footnote w:type="continuationSeparator" w:id="0">
    <w:p w:rsidR="007111CD" w:rsidRDefault="007111C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CD" w:rsidRDefault="007111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CD" w:rsidRDefault="007111CD">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7111CD" w:rsidRPr="00AC2223" w:rsidRDefault="00221777" w:rsidP="00C93D17">
                          <w:pPr>
                            <w:jc w:val="right"/>
                            <w:rPr>
                              <w:rFonts w:ascii="Arial" w:hAnsi="Arial" w:cs="Arial"/>
                              <w:i/>
                              <w:sz w:val="18"/>
                              <w:szCs w:val="18"/>
                            </w:rPr>
                          </w:pPr>
                          <w:hyperlink r:id="rId2" w:history="1">
                            <w:r w:rsidR="007111CD"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7111CD" w:rsidRPr="00AC2223" w:rsidRDefault="00221777" w:rsidP="00C93D17">
                    <w:pPr>
                      <w:jc w:val="right"/>
                      <w:rPr>
                        <w:rFonts w:ascii="Arial" w:hAnsi="Arial" w:cs="Arial"/>
                        <w:i/>
                        <w:sz w:val="18"/>
                        <w:szCs w:val="18"/>
                      </w:rPr>
                    </w:pPr>
                    <w:hyperlink r:id="rId3" w:history="1">
                      <w:r w:rsidR="007111CD"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CD" w:rsidRDefault="007111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A5EBA"/>
    <w:multiLevelType w:val="multilevel"/>
    <w:tmpl w:val="B96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66A62"/>
    <w:rsid w:val="000A44F1"/>
    <w:rsid w:val="000C6BAB"/>
    <w:rsid w:val="000E4BEB"/>
    <w:rsid w:val="000E5A0E"/>
    <w:rsid w:val="0017476E"/>
    <w:rsid w:val="00176BFC"/>
    <w:rsid w:val="00182135"/>
    <w:rsid w:val="001D41A9"/>
    <w:rsid w:val="001E71B1"/>
    <w:rsid w:val="00206FAA"/>
    <w:rsid w:val="00221777"/>
    <w:rsid w:val="0022296F"/>
    <w:rsid w:val="00233504"/>
    <w:rsid w:val="002B1C66"/>
    <w:rsid w:val="002C1E13"/>
    <w:rsid w:val="00333725"/>
    <w:rsid w:val="004506FE"/>
    <w:rsid w:val="00475598"/>
    <w:rsid w:val="0048036C"/>
    <w:rsid w:val="004A33CC"/>
    <w:rsid w:val="004E5865"/>
    <w:rsid w:val="004E68F3"/>
    <w:rsid w:val="00506977"/>
    <w:rsid w:val="00527C57"/>
    <w:rsid w:val="005462AD"/>
    <w:rsid w:val="00574BEB"/>
    <w:rsid w:val="005B2946"/>
    <w:rsid w:val="005C0361"/>
    <w:rsid w:val="006027BA"/>
    <w:rsid w:val="0061648F"/>
    <w:rsid w:val="00621195"/>
    <w:rsid w:val="006246A2"/>
    <w:rsid w:val="00635D7A"/>
    <w:rsid w:val="0067451F"/>
    <w:rsid w:val="006D07AF"/>
    <w:rsid w:val="006D5D2F"/>
    <w:rsid w:val="007111CD"/>
    <w:rsid w:val="00723B4B"/>
    <w:rsid w:val="00745EE5"/>
    <w:rsid w:val="0074684B"/>
    <w:rsid w:val="007930AE"/>
    <w:rsid w:val="007B4D3C"/>
    <w:rsid w:val="007F4FC9"/>
    <w:rsid w:val="00862F3E"/>
    <w:rsid w:val="008A7F7B"/>
    <w:rsid w:val="008C1D48"/>
    <w:rsid w:val="00913C77"/>
    <w:rsid w:val="0095483E"/>
    <w:rsid w:val="00A4490E"/>
    <w:rsid w:val="00A651A5"/>
    <w:rsid w:val="00A7652F"/>
    <w:rsid w:val="00AC2223"/>
    <w:rsid w:val="00B01655"/>
    <w:rsid w:val="00B02C46"/>
    <w:rsid w:val="00B11ED0"/>
    <w:rsid w:val="00B27E74"/>
    <w:rsid w:val="00B37840"/>
    <w:rsid w:val="00B70DAA"/>
    <w:rsid w:val="00BC2391"/>
    <w:rsid w:val="00BC7D80"/>
    <w:rsid w:val="00C07190"/>
    <w:rsid w:val="00C3075E"/>
    <w:rsid w:val="00C670FA"/>
    <w:rsid w:val="00C675B9"/>
    <w:rsid w:val="00C86928"/>
    <w:rsid w:val="00C93D17"/>
    <w:rsid w:val="00CA33A1"/>
    <w:rsid w:val="00D12ED6"/>
    <w:rsid w:val="00D17A67"/>
    <w:rsid w:val="00DA50F2"/>
    <w:rsid w:val="00DB4FF9"/>
    <w:rsid w:val="00DF3871"/>
    <w:rsid w:val="00DF396A"/>
    <w:rsid w:val="00E056E0"/>
    <w:rsid w:val="00E53294"/>
    <w:rsid w:val="00E5546C"/>
    <w:rsid w:val="00E678F7"/>
    <w:rsid w:val="00E84DD0"/>
    <w:rsid w:val="00ED0DBD"/>
    <w:rsid w:val="00ED65AA"/>
    <w:rsid w:val="00EE3EE3"/>
    <w:rsid w:val="00F02E0F"/>
    <w:rsid w:val="00F16437"/>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1E7F31-D6FE-4D6F-A31F-1F1CE61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C1E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customStyle="1" w:styleId="berschrift1Zchn">
    <w:name w:val="Überschrift 1 Zchn"/>
    <w:basedOn w:val="Absatz-Standardschriftart"/>
    <w:link w:val="berschrift1"/>
    <w:uiPriority w:val="9"/>
    <w:rsid w:val="002C1E13"/>
    <w:rPr>
      <w:rFonts w:asciiTheme="majorHAnsi" w:eastAsiaTheme="majorEastAsia" w:hAnsiTheme="majorHAnsi" w:cstheme="majorBidi"/>
      <w:color w:val="365F91" w:themeColor="accent1" w:themeShade="BF"/>
      <w:sz w:val="32"/>
      <w:szCs w:val="32"/>
      <w:u w:color="000000"/>
      <w:bdr w:val="nil"/>
      <w:lang w:eastAsia="de-DE"/>
    </w:rPr>
  </w:style>
  <w:style w:type="paragraph" w:styleId="StandardWeb">
    <w:name w:val="Normal (Web)"/>
    <w:basedOn w:val="Standard"/>
    <w:uiPriority w:val="99"/>
    <w:semiHidden/>
    <w:unhideWhenUsed/>
    <w:rsid w:val="002C1E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0493">
      <w:bodyDiv w:val="1"/>
      <w:marLeft w:val="0"/>
      <w:marRight w:val="0"/>
      <w:marTop w:val="0"/>
      <w:marBottom w:val="0"/>
      <w:divBdr>
        <w:top w:val="none" w:sz="0" w:space="0" w:color="auto"/>
        <w:left w:val="none" w:sz="0" w:space="0" w:color="auto"/>
        <w:bottom w:val="none" w:sz="0" w:space="0" w:color="auto"/>
        <w:right w:val="none" w:sz="0" w:space="0" w:color="auto"/>
      </w:divBdr>
      <w:divsChild>
        <w:div w:id="1774936014">
          <w:marLeft w:val="0"/>
          <w:marRight w:val="0"/>
          <w:marTop w:val="0"/>
          <w:marBottom w:val="0"/>
          <w:divBdr>
            <w:top w:val="none" w:sz="0" w:space="0" w:color="auto"/>
            <w:left w:val="none" w:sz="0" w:space="0" w:color="auto"/>
            <w:bottom w:val="none" w:sz="0" w:space="0" w:color="auto"/>
            <w:right w:val="none" w:sz="0" w:space="0" w:color="auto"/>
          </w:divBdr>
          <w:divsChild>
            <w:div w:id="2018461243">
              <w:marLeft w:val="0"/>
              <w:marRight w:val="0"/>
              <w:marTop w:val="0"/>
              <w:marBottom w:val="0"/>
              <w:divBdr>
                <w:top w:val="none" w:sz="0" w:space="0" w:color="auto"/>
                <w:left w:val="none" w:sz="0" w:space="0" w:color="auto"/>
                <w:bottom w:val="none" w:sz="0" w:space="0" w:color="auto"/>
                <w:right w:val="none" w:sz="0" w:space="0" w:color="auto"/>
              </w:divBdr>
            </w:div>
            <w:div w:id="412167197">
              <w:marLeft w:val="0"/>
              <w:marRight w:val="0"/>
              <w:marTop w:val="0"/>
              <w:marBottom w:val="0"/>
              <w:divBdr>
                <w:top w:val="none" w:sz="0" w:space="0" w:color="auto"/>
                <w:left w:val="none" w:sz="0" w:space="0" w:color="auto"/>
                <w:bottom w:val="none" w:sz="0" w:space="0" w:color="auto"/>
                <w:right w:val="none" w:sz="0" w:space="0" w:color="auto"/>
              </w:divBdr>
              <w:divsChild>
                <w:div w:id="839584399">
                  <w:marLeft w:val="0"/>
                  <w:marRight w:val="0"/>
                  <w:marTop w:val="0"/>
                  <w:marBottom w:val="0"/>
                  <w:divBdr>
                    <w:top w:val="none" w:sz="0" w:space="0" w:color="auto"/>
                    <w:left w:val="none" w:sz="0" w:space="0" w:color="auto"/>
                    <w:bottom w:val="none" w:sz="0" w:space="0" w:color="auto"/>
                    <w:right w:val="none" w:sz="0" w:space="0" w:color="auto"/>
                  </w:divBdr>
                  <w:divsChild>
                    <w:div w:id="1918124278">
                      <w:marLeft w:val="0"/>
                      <w:marRight w:val="0"/>
                      <w:marTop w:val="0"/>
                      <w:marBottom w:val="0"/>
                      <w:divBdr>
                        <w:top w:val="none" w:sz="0" w:space="0" w:color="auto"/>
                        <w:left w:val="none" w:sz="0" w:space="0" w:color="auto"/>
                        <w:bottom w:val="none" w:sz="0" w:space="0" w:color="auto"/>
                        <w:right w:val="none" w:sz="0" w:space="0" w:color="auto"/>
                      </w:divBdr>
                    </w:div>
                  </w:divsChild>
                </w:div>
                <w:div w:id="1988589473">
                  <w:marLeft w:val="0"/>
                  <w:marRight w:val="0"/>
                  <w:marTop w:val="0"/>
                  <w:marBottom w:val="120"/>
                  <w:divBdr>
                    <w:top w:val="single" w:sz="6" w:space="0" w:color="729FCF"/>
                    <w:left w:val="single" w:sz="6" w:space="0" w:color="729FCF"/>
                    <w:bottom w:val="single" w:sz="6" w:space="0" w:color="729FCF"/>
                    <w:right w:val="single" w:sz="6" w:space="0" w:color="729FCF"/>
                  </w:divBdr>
                  <w:divsChild>
                    <w:div w:id="919220404">
                      <w:marLeft w:val="0"/>
                      <w:marRight w:val="0"/>
                      <w:marTop w:val="45"/>
                      <w:marBottom w:val="75"/>
                      <w:divBdr>
                        <w:top w:val="none" w:sz="0" w:space="0" w:color="auto"/>
                        <w:left w:val="none" w:sz="0" w:space="0" w:color="auto"/>
                        <w:bottom w:val="none" w:sz="0" w:space="0" w:color="auto"/>
                        <w:right w:val="none" w:sz="0" w:space="0" w:color="auto"/>
                      </w:divBdr>
                    </w:div>
                    <w:div w:id="124742319">
                      <w:marLeft w:val="0"/>
                      <w:marRight w:val="0"/>
                      <w:marTop w:val="0"/>
                      <w:marBottom w:val="0"/>
                      <w:divBdr>
                        <w:top w:val="none" w:sz="0" w:space="0" w:color="auto"/>
                        <w:left w:val="none" w:sz="0" w:space="0" w:color="auto"/>
                        <w:bottom w:val="none" w:sz="0" w:space="0" w:color="auto"/>
                        <w:right w:val="none" w:sz="0" w:space="0" w:color="auto"/>
                      </w:divBdr>
                    </w:div>
                  </w:divsChild>
                </w:div>
                <w:div w:id="1985891846">
                  <w:marLeft w:val="0"/>
                  <w:marRight w:val="0"/>
                  <w:marTop w:val="0"/>
                  <w:marBottom w:val="0"/>
                  <w:divBdr>
                    <w:top w:val="single" w:sz="6" w:space="8" w:color="AAAAAA"/>
                    <w:left w:val="single" w:sz="6" w:space="8" w:color="AAAAAA"/>
                    <w:bottom w:val="single" w:sz="6" w:space="8" w:color="AAAAAA"/>
                    <w:right w:val="single" w:sz="6" w:space="8" w:color="AAAAAA"/>
                  </w:divBdr>
                </w:div>
                <w:div w:id="1333265960">
                  <w:marLeft w:val="0"/>
                  <w:marRight w:val="0"/>
                  <w:marTop w:val="0"/>
                  <w:marBottom w:val="120"/>
                  <w:divBdr>
                    <w:top w:val="single" w:sz="6" w:space="0" w:color="729FCF"/>
                    <w:left w:val="single" w:sz="6" w:space="0" w:color="729FCF"/>
                    <w:bottom w:val="single" w:sz="6" w:space="0" w:color="729FCF"/>
                    <w:right w:val="single" w:sz="6" w:space="0" w:color="729FCF"/>
                  </w:divBdr>
                  <w:divsChild>
                    <w:div w:id="1450856436">
                      <w:marLeft w:val="0"/>
                      <w:marRight w:val="0"/>
                      <w:marTop w:val="45"/>
                      <w:marBottom w:val="75"/>
                      <w:divBdr>
                        <w:top w:val="none" w:sz="0" w:space="0" w:color="auto"/>
                        <w:left w:val="none" w:sz="0" w:space="0" w:color="auto"/>
                        <w:bottom w:val="none" w:sz="0" w:space="0" w:color="auto"/>
                        <w:right w:val="none" w:sz="0" w:space="0" w:color="auto"/>
                      </w:divBdr>
                    </w:div>
                    <w:div w:id="1514105785">
                      <w:marLeft w:val="0"/>
                      <w:marRight w:val="0"/>
                      <w:marTop w:val="0"/>
                      <w:marBottom w:val="0"/>
                      <w:divBdr>
                        <w:top w:val="none" w:sz="0" w:space="0" w:color="auto"/>
                        <w:left w:val="none" w:sz="0" w:space="0" w:color="auto"/>
                        <w:bottom w:val="none" w:sz="0" w:space="0" w:color="auto"/>
                        <w:right w:val="none" w:sz="0" w:space="0" w:color="auto"/>
                      </w:divBdr>
                    </w:div>
                  </w:divsChild>
                </w:div>
                <w:div w:id="880753185">
                  <w:marLeft w:val="0"/>
                  <w:marRight w:val="0"/>
                  <w:marTop w:val="0"/>
                  <w:marBottom w:val="0"/>
                  <w:divBdr>
                    <w:top w:val="single" w:sz="6" w:space="8" w:color="AAAAAA"/>
                    <w:left w:val="single" w:sz="6" w:space="8" w:color="AAAAAA"/>
                    <w:bottom w:val="single" w:sz="6" w:space="8" w:color="AAAAAA"/>
                    <w:right w:val="single" w:sz="6" w:space="8" w:color="AAAAAA"/>
                  </w:divBdr>
                </w:div>
              </w:divsChild>
            </w:div>
          </w:divsChild>
        </w:div>
      </w:divsChild>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ndschullernportal.zum.de/wiki/Think_Pair_Sha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3.0/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5208-FD0B-4B33-9176-6BFAC3A2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DD0F8BAE.dotm</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8</cp:revision>
  <cp:lastPrinted>2015-10-16T10:30:00Z</cp:lastPrinted>
  <dcterms:created xsi:type="dcterms:W3CDTF">2016-03-03T14:07:00Z</dcterms:created>
  <dcterms:modified xsi:type="dcterms:W3CDTF">2016-05-04T11:35:00Z</dcterms:modified>
</cp:coreProperties>
</file>