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75699" w14:textId="77777777" w:rsidR="006A31ED" w:rsidRDefault="006A31ED" w:rsidP="003B72B2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D332AA">
        <w:t>Buchvorstellung</w:t>
      </w:r>
    </w:p>
    <w:p w14:paraId="3132281D" w14:textId="77777777" w:rsidR="006A31ED" w:rsidRDefault="006A31ED" w:rsidP="003B72B2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6C39B607" w14:textId="77777777" w:rsidR="00BF1FB0" w:rsidRDefault="003E66A6" w:rsidP="003B72B2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32"/>
          <w:szCs w:val="32"/>
        </w:rPr>
        <w:t>Deutsch lesen. Erfolg schreiben.</w:t>
      </w:r>
    </w:p>
    <w:p w14:paraId="7D090E0B" w14:textId="77777777" w:rsidR="006A31ED" w:rsidRDefault="003E66A6" w:rsidP="003B72B2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Alphabetisierungslehrwerke (deutsch-türkisch, deutsch-arabisch)</w:t>
      </w:r>
    </w:p>
    <w:p w14:paraId="5F6CC497" w14:textId="77777777" w:rsidR="006A31ED" w:rsidRDefault="006A31ED" w:rsidP="003B72B2">
      <w:pPr>
        <w:spacing w:after="0"/>
        <w:rPr>
          <w:rFonts w:ascii="Arial" w:eastAsia="Arial" w:hAnsi="Arial" w:cs="Arial"/>
          <w:sz w:val="24"/>
          <w:szCs w:val="24"/>
        </w:rPr>
      </w:pPr>
    </w:p>
    <w:p w14:paraId="6ABEB3CA" w14:textId="5B447BF2" w:rsidR="00463056" w:rsidRPr="00970322" w:rsidRDefault="00970322" w:rsidP="003B72B2">
      <w:pPr>
        <w:spacing w:before="100" w:after="100"/>
        <w:rPr>
          <w:rFonts w:ascii="Arial" w:eastAsia="Arial" w:hAnsi="Arial" w:cs="Arial"/>
          <w:b/>
          <w:sz w:val="24"/>
          <w:szCs w:val="24"/>
        </w:rPr>
      </w:pPr>
      <w:r w:rsidRPr="00970322">
        <w:rPr>
          <w:rFonts w:ascii="Arial" w:eastAsia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55176DA4" wp14:editId="7ED610AE">
            <wp:simplePos x="0" y="0"/>
            <wp:positionH relativeFrom="column">
              <wp:posOffset>318</wp:posOffset>
            </wp:positionH>
            <wp:positionV relativeFrom="paragraph">
              <wp:posOffset>62865</wp:posOffset>
            </wp:positionV>
            <wp:extent cx="1739374" cy="1228725"/>
            <wp:effectExtent l="0" t="0" r="0" b="0"/>
            <wp:wrapSquare wrapText="bothSides"/>
            <wp:docPr id="3" name="Grafik 3" descr="O:\AB Portale\wb web\Materialien Content\Bilderpool\BV_Deutschlesen_Erfolgschrei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B Portale\wb web\Materialien Content\Bilderpool\BV_Deutschlesen_Erfolgschreib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374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1FB0" w:rsidRPr="00970322">
        <w:rPr>
          <w:rFonts w:ascii="Arial" w:eastAsia="Arial" w:hAnsi="Arial" w:cs="Arial"/>
          <w:b/>
          <w:sz w:val="24"/>
          <w:szCs w:val="24"/>
        </w:rPr>
        <w:t xml:space="preserve">Das </w:t>
      </w:r>
      <w:r w:rsidR="001C0B03" w:rsidRPr="00970322">
        <w:rPr>
          <w:rFonts w:ascii="Arial" w:eastAsia="Arial" w:hAnsi="Arial" w:cs="Arial"/>
          <w:b/>
          <w:sz w:val="24"/>
          <w:szCs w:val="24"/>
        </w:rPr>
        <w:t xml:space="preserve">Autorentrio Tuğba Bektaş, Mary Matta und Britta Marschke stellt Lehrenden zwei Kursbücher zum Erwerb der deutschen Sprache vor, </w:t>
      </w:r>
      <w:r w:rsidR="00F4298B" w:rsidRPr="00970322">
        <w:rPr>
          <w:rFonts w:ascii="Arial" w:eastAsia="Arial" w:hAnsi="Arial" w:cs="Arial"/>
          <w:b/>
          <w:sz w:val="24"/>
          <w:szCs w:val="24"/>
        </w:rPr>
        <w:t xml:space="preserve">je </w:t>
      </w:r>
      <w:r w:rsidR="001C0B03" w:rsidRPr="00970322">
        <w:rPr>
          <w:rFonts w:ascii="Arial" w:eastAsia="Arial" w:hAnsi="Arial" w:cs="Arial"/>
          <w:b/>
          <w:sz w:val="24"/>
          <w:szCs w:val="24"/>
        </w:rPr>
        <w:t xml:space="preserve">eine Ausgabe für erwachsene Lernende mit türkischer </w:t>
      </w:r>
      <w:r>
        <w:rPr>
          <w:rFonts w:ascii="Arial" w:eastAsia="Arial" w:hAnsi="Arial" w:cs="Arial"/>
          <w:b/>
          <w:sz w:val="24"/>
          <w:szCs w:val="24"/>
        </w:rPr>
        <w:t>und</w:t>
      </w:r>
      <w:r w:rsidRPr="00970322">
        <w:rPr>
          <w:rFonts w:ascii="Arial" w:eastAsia="Arial" w:hAnsi="Arial" w:cs="Arial"/>
          <w:b/>
          <w:sz w:val="24"/>
          <w:szCs w:val="24"/>
        </w:rPr>
        <w:t xml:space="preserve"> </w:t>
      </w:r>
      <w:r w:rsidR="00F4298B" w:rsidRPr="00970322">
        <w:rPr>
          <w:rFonts w:ascii="Arial" w:eastAsia="Arial" w:hAnsi="Arial" w:cs="Arial"/>
          <w:b/>
          <w:sz w:val="24"/>
          <w:szCs w:val="24"/>
        </w:rPr>
        <w:t xml:space="preserve">arabischer </w:t>
      </w:r>
      <w:r w:rsidR="001C0B03" w:rsidRPr="00970322">
        <w:rPr>
          <w:rFonts w:ascii="Arial" w:eastAsia="Arial" w:hAnsi="Arial" w:cs="Arial"/>
          <w:b/>
          <w:sz w:val="24"/>
          <w:szCs w:val="24"/>
        </w:rPr>
        <w:t>Muttersprache.</w:t>
      </w:r>
      <w:r w:rsidR="00A35551" w:rsidRPr="00970322">
        <w:rPr>
          <w:rFonts w:ascii="Arial" w:eastAsia="Arial" w:hAnsi="Arial" w:cs="Arial"/>
          <w:b/>
          <w:sz w:val="24"/>
          <w:szCs w:val="24"/>
        </w:rPr>
        <w:t xml:space="preserve"> </w:t>
      </w:r>
      <w:r w:rsidR="00F4298B" w:rsidRPr="00970322">
        <w:rPr>
          <w:rFonts w:ascii="Arial" w:eastAsia="Arial" w:hAnsi="Arial" w:cs="Arial"/>
          <w:b/>
          <w:sz w:val="24"/>
          <w:szCs w:val="24"/>
        </w:rPr>
        <w:t xml:space="preserve">Die beiden kontrastiven </w:t>
      </w:r>
      <w:r w:rsidR="001C0B03" w:rsidRPr="00970322">
        <w:rPr>
          <w:rFonts w:ascii="Arial" w:eastAsia="Arial" w:hAnsi="Arial" w:cs="Arial"/>
          <w:b/>
          <w:sz w:val="24"/>
          <w:szCs w:val="24"/>
        </w:rPr>
        <w:t>Lehrwerke orientieren sich am  Konzept für bundesweite Alphabetisierungskurse des Bundesamts für Migration und Flüchtlinge</w:t>
      </w:r>
      <w:r w:rsidR="00F4298B" w:rsidRPr="00970322">
        <w:rPr>
          <w:rFonts w:ascii="Arial" w:eastAsia="Arial" w:hAnsi="Arial" w:cs="Arial"/>
          <w:b/>
          <w:sz w:val="24"/>
          <w:szCs w:val="24"/>
        </w:rPr>
        <w:t xml:space="preserve"> und </w:t>
      </w:r>
      <w:r w:rsidRPr="00970322">
        <w:rPr>
          <w:rFonts w:ascii="Arial" w:eastAsia="Arial" w:hAnsi="Arial" w:cs="Arial"/>
          <w:b/>
          <w:sz w:val="24"/>
          <w:szCs w:val="24"/>
        </w:rPr>
        <w:t xml:space="preserve">führen </w:t>
      </w:r>
      <w:r w:rsidR="00F4298B" w:rsidRPr="00970322">
        <w:rPr>
          <w:rFonts w:ascii="Arial" w:eastAsia="Arial" w:hAnsi="Arial" w:cs="Arial"/>
          <w:b/>
          <w:sz w:val="24"/>
          <w:szCs w:val="24"/>
        </w:rPr>
        <w:t>zum Niveau A1.</w:t>
      </w:r>
    </w:p>
    <w:p w14:paraId="31042B8B" w14:textId="6D53E627" w:rsidR="00F4298B" w:rsidRPr="006A31ED" w:rsidRDefault="00FB6DC8">
      <w:pPr>
        <w:spacing w:before="100" w:after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Die Lehrwerke bauen </w:t>
      </w:r>
      <w:r w:rsidR="002B2836">
        <w:rPr>
          <w:rFonts w:ascii="Arial" w:eastAsia="Arial" w:hAnsi="Arial" w:cs="Arial"/>
          <w:sz w:val="24"/>
          <w:szCs w:val="24"/>
        </w:rPr>
        <w:t xml:space="preserve">beim Erwerb der Schriftsprache im Verbund mit der Fremdsprache </w:t>
      </w:r>
      <w:r>
        <w:rPr>
          <w:rFonts w:ascii="Arial" w:eastAsia="Arial" w:hAnsi="Arial" w:cs="Arial"/>
          <w:sz w:val="24"/>
          <w:szCs w:val="24"/>
        </w:rPr>
        <w:t>auf die Muttersprache auf. Bekannte Wörter werden visualisiert, Laute mit vergleichbaren aus der Muttersprache verbunden. Der Erwerb der Schriftsprache erfolgt Buchstabe für Buchstabe</w:t>
      </w:r>
      <w:r w:rsidR="007812A7">
        <w:rPr>
          <w:rFonts w:ascii="Arial" w:eastAsia="Arial" w:hAnsi="Arial" w:cs="Arial"/>
          <w:sz w:val="24"/>
          <w:szCs w:val="24"/>
        </w:rPr>
        <w:t xml:space="preserve"> bis hin zu kurzen Sätzen</w:t>
      </w:r>
      <w:r>
        <w:rPr>
          <w:rFonts w:ascii="Arial" w:eastAsia="Arial" w:hAnsi="Arial" w:cs="Arial"/>
          <w:sz w:val="24"/>
          <w:szCs w:val="24"/>
        </w:rPr>
        <w:t xml:space="preserve">. Der Lehrende ist Lernbegleiter und vermittelt die einzelnen Aufgaben. Die Beschreibung der einzelnen Aufgaben ist in deutscher Sprache abgebildet und </w:t>
      </w:r>
      <w:r w:rsidR="00970322">
        <w:rPr>
          <w:rFonts w:ascii="Arial" w:eastAsia="Arial" w:hAnsi="Arial" w:cs="Arial"/>
          <w:sz w:val="24"/>
          <w:szCs w:val="24"/>
        </w:rPr>
        <w:t xml:space="preserve">damit </w:t>
      </w:r>
      <w:r>
        <w:rPr>
          <w:rFonts w:ascii="Arial" w:eastAsia="Arial" w:hAnsi="Arial" w:cs="Arial"/>
          <w:sz w:val="24"/>
          <w:szCs w:val="24"/>
        </w:rPr>
        <w:t xml:space="preserve">auf ein Kursformat abgestimmt. </w:t>
      </w:r>
      <w:r w:rsidR="007812A7">
        <w:rPr>
          <w:rFonts w:ascii="Arial" w:eastAsia="Arial" w:hAnsi="Arial" w:cs="Arial"/>
          <w:sz w:val="24"/>
          <w:szCs w:val="24"/>
        </w:rPr>
        <w:t>Für ein Selbststudium ist das Kurs- und Arbeitsbuch nicht ausgelegt.</w:t>
      </w:r>
    </w:p>
    <w:p w14:paraId="08074133" w14:textId="77777777" w:rsidR="00BF1FB0" w:rsidRPr="006D6AD7" w:rsidRDefault="00BF1FB0" w:rsidP="003B72B2">
      <w:pPr>
        <w:spacing w:before="100" w:after="100"/>
        <w:rPr>
          <w:rFonts w:ascii="Arial" w:eastAsia="Arial" w:hAnsi="Arial" w:cs="Arial"/>
          <w:i/>
          <w:sz w:val="24"/>
          <w:szCs w:val="24"/>
        </w:rPr>
      </w:pPr>
      <w:r w:rsidRPr="006D6AD7">
        <w:rPr>
          <w:rFonts w:ascii="Arial" w:eastAsia="Arial" w:hAnsi="Arial" w:cs="Arial"/>
          <w:b/>
          <w:sz w:val="24"/>
          <w:szCs w:val="24"/>
        </w:rPr>
        <w:t>Aufbau und Inhalt</w:t>
      </w:r>
      <w:r w:rsidR="00434DAD" w:rsidRPr="006D6AD7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95D02DE" w14:textId="77777777" w:rsidR="00BF1FB0" w:rsidRPr="006A31ED" w:rsidRDefault="000309FB">
      <w:pPr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Lehrwerke beinhalten die Einführung aller deutschen und türkischen bzw. arabischen Buchstaben, Übungen zum Auf- und Ausbau der Lese- und Schreibkompetenzen, sowie</w:t>
      </w:r>
      <w:r w:rsidR="007812A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vergleichende Hörübungen auf Deutsch und Türkisch/Arabisch sowie Sprechübungen. Der zu vermittelnde Wortschatz orientiert sich am Alltag. Darüber hinaus werden die Zahlen bis 100 sowie das Rechnen bis 20 vermittelt.  </w:t>
      </w:r>
    </w:p>
    <w:p w14:paraId="2043C11D" w14:textId="77777777" w:rsidR="00BF1FB0" w:rsidRPr="006A31ED" w:rsidRDefault="00BF1FB0" w:rsidP="003B72B2">
      <w:pPr>
        <w:spacing w:before="100" w:after="100"/>
        <w:rPr>
          <w:rFonts w:ascii="Arial" w:eastAsia="Arial" w:hAnsi="Arial" w:cs="Arial"/>
          <w:b/>
          <w:sz w:val="24"/>
          <w:szCs w:val="24"/>
        </w:rPr>
      </w:pPr>
      <w:r w:rsidRPr="006A31ED">
        <w:rPr>
          <w:rFonts w:ascii="Arial" w:eastAsia="Arial" w:hAnsi="Arial" w:cs="Arial"/>
          <w:b/>
          <w:sz w:val="24"/>
          <w:szCs w:val="24"/>
        </w:rPr>
        <w:t>Praxisnahe</w:t>
      </w:r>
      <w:r w:rsidR="00DE2A04">
        <w:rPr>
          <w:rFonts w:ascii="Arial" w:eastAsia="Arial" w:hAnsi="Arial" w:cs="Arial"/>
          <w:b/>
          <w:sz w:val="24"/>
          <w:szCs w:val="24"/>
        </w:rPr>
        <w:t>r Leitfaden</w:t>
      </w:r>
      <w:r w:rsidRPr="006A31ED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2542D6E" w14:textId="77777777" w:rsidR="00050DDD" w:rsidRPr="006A31ED" w:rsidRDefault="00970322" w:rsidP="003B72B2">
      <w:pPr>
        <w:spacing w:before="100" w:after="100"/>
        <w:rPr>
          <w:rFonts w:ascii="Arial" w:eastAsia="Arial" w:hAnsi="Arial" w:cs="Arial"/>
          <w:sz w:val="24"/>
          <w:szCs w:val="24"/>
        </w:rPr>
      </w:pPr>
      <w:bookmarkStart w:id="0" w:name="h.gjdgxs" w:colFirst="0" w:colLast="0"/>
      <w:bookmarkEnd w:id="0"/>
      <w:r w:rsidRPr="006A31ED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ie Lehrwerke greifen mit der Gegenüberstellung der Sprachelemente eine bereits in den neunziger Jahren entwickelte Methode des Spracherwerbs neu auf. </w:t>
      </w:r>
      <w:r w:rsidR="003F27AE">
        <w:rPr>
          <w:rFonts w:ascii="Arial" w:eastAsia="Arial" w:hAnsi="Arial" w:cs="Arial"/>
          <w:sz w:val="24"/>
          <w:szCs w:val="24"/>
        </w:rPr>
        <w:t xml:space="preserve">Der Erwerb der lateinischen Schrift orientiert sich an der Druckschrift. </w:t>
      </w:r>
      <w:r>
        <w:rPr>
          <w:rFonts w:ascii="Arial" w:eastAsia="Arial" w:hAnsi="Arial" w:cs="Arial"/>
          <w:sz w:val="24"/>
          <w:szCs w:val="24"/>
        </w:rPr>
        <w:t xml:space="preserve">Die </w:t>
      </w:r>
      <w:r w:rsidR="003F27AE">
        <w:rPr>
          <w:rFonts w:ascii="Arial" w:eastAsia="Arial" w:hAnsi="Arial" w:cs="Arial"/>
          <w:sz w:val="24"/>
          <w:szCs w:val="24"/>
        </w:rPr>
        <w:t xml:space="preserve">einzelnen </w:t>
      </w:r>
      <w:r>
        <w:rPr>
          <w:rFonts w:ascii="Arial" w:eastAsia="Arial" w:hAnsi="Arial" w:cs="Arial"/>
          <w:sz w:val="24"/>
          <w:szCs w:val="24"/>
        </w:rPr>
        <w:t>Lernschritte sind für Erwachsene abgestimmt.</w:t>
      </w:r>
      <w:r w:rsidR="003F27AE">
        <w:rPr>
          <w:rFonts w:ascii="Arial" w:eastAsia="Arial" w:hAnsi="Arial" w:cs="Arial"/>
          <w:sz w:val="24"/>
          <w:szCs w:val="24"/>
        </w:rPr>
        <w:t xml:space="preserve"> Einzel- wie Partner- oder Gruppenübungen, wie zum Beispiel „auditive Elemente“, beleben den Kurs. Die Inhalte orientieren sich an lebensnahen Situationen.</w:t>
      </w:r>
    </w:p>
    <w:p w14:paraId="525FC221" w14:textId="77777777" w:rsidR="000309FB" w:rsidRDefault="000309F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3EA75EC7" w14:textId="77777777" w:rsidR="00BF1FB0" w:rsidRPr="006A31ED" w:rsidRDefault="00BF1FB0" w:rsidP="00B26B12">
      <w:pPr>
        <w:spacing w:before="100" w:after="100" w:line="360" w:lineRule="auto"/>
        <w:rPr>
          <w:rFonts w:ascii="Arial" w:eastAsia="Arial" w:hAnsi="Arial" w:cs="Arial"/>
          <w:i/>
          <w:sz w:val="24"/>
          <w:szCs w:val="24"/>
        </w:rPr>
      </w:pPr>
      <w:r w:rsidRPr="006A31ED">
        <w:rPr>
          <w:rFonts w:ascii="Arial" w:eastAsia="Arial" w:hAnsi="Arial" w:cs="Arial"/>
          <w:b/>
          <w:sz w:val="24"/>
          <w:szCs w:val="24"/>
        </w:rPr>
        <w:lastRenderedPageBreak/>
        <w:t>Verlagsinformationen</w:t>
      </w:r>
      <w:r w:rsidR="00434DAD" w:rsidRPr="006A31ED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5EBDC9F" w14:textId="77777777" w:rsidR="00B724C4" w:rsidRPr="000309FB" w:rsidRDefault="003F27AE" w:rsidP="00B26B12">
      <w:pPr>
        <w:pStyle w:val="berschrift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0309FB">
        <w:rPr>
          <w:rFonts w:ascii="Arial" w:hAnsi="Arial" w:cs="Arial"/>
          <w:b w:val="0"/>
          <w:sz w:val="24"/>
          <w:szCs w:val="24"/>
        </w:rPr>
        <w:t xml:space="preserve">Bektaş, T., Matta, M., Marschke &amp; B. (2017). </w:t>
      </w:r>
      <w:r w:rsidRPr="000309FB">
        <w:rPr>
          <w:rFonts w:ascii="Arial" w:hAnsi="Arial" w:cs="Arial"/>
          <w:b w:val="0"/>
          <w:i/>
          <w:sz w:val="24"/>
          <w:szCs w:val="24"/>
        </w:rPr>
        <w:t>Deutsch lesen. Erfolg schreiben</w:t>
      </w:r>
      <w:r w:rsidRPr="000309FB">
        <w:rPr>
          <w:rFonts w:ascii="Arial" w:hAnsi="Arial" w:cs="Arial"/>
          <w:b w:val="0"/>
          <w:sz w:val="24"/>
          <w:szCs w:val="24"/>
        </w:rPr>
        <w:t xml:space="preserve">. (türkisch). München: Hueber Verlag. Berlin: GIZ e.V. </w:t>
      </w:r>
      <w:r>
        <w:rPr>
          <w:rFonts w:ascii="Arial" w:hAnsi="Arial" w:cs="Arial"/>
          <w:b w:val="0"/>
          <w:sz w:val="24"/>
          <w:szCs w:val="24"/>
        </w:rPr>
        <w:t>ISBN 978-3-19-012559-3</w:t>
      </w:r>
    </w:p>
    <w:p w14:paraId="347BA1EB" w14:textId="77777777" w:rsidR="003F27AE" w:rsidRPr="000309FB" w:rsidRDefault="003F27AE" w:rsidP="00B26B12">
      <w:pPr>
        <w:pStyle w:val="berschrift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05FF8C44" w14:textId="77777777" w:rsidR="003F27AE" w:rsidRDefault="003F27AE" w:rsidP="00B26B12">
      <w:pPr>
        <w:pStyle w:val="berschrift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0309FB">
        <w:rPr>
          <w:rFonts w:ascii="Arial" w:hAnsi="Arial" w:cs="Arial"/>
          <w:b w:val="0"/>
          <w:sz w:val="24"/>
          <w:szCs w:val="24"/>
        </w:rPr>
        <w:t xml:space="preserve">Matta, M., Bektaş, T. &amp; Marschke, B. (2017). </w:t>
      </w:r>
      <w:r w:rsidRPr="000309FB">
        <w:rPr>
          <w:rFonts w:ascii="Arial" w:hAnsi="Arial" w:cs="Arial"/>
          <w:b w:val="0"/>
          <w:i/>
          <w:sz w:val="24"/>
          <w:szCs w:val="24"/>
        </w:rPr>
        <w:t>Deutsch lesen. Erfolg schreiben.</w:t>
      </w:r>
      <w:r w:rsidRPr="000309FB">
        <w:rPr>
          <w:rFonts w:ascii="Arial" w:hAnsi="Arial" w:cs="Arial"/>
          <w:b w:val="0"/>
          <w:sz w:val="24"/>
          <w:szCs w:val="24"/>
        </w:rPr>
        <w:t xml:space="preserve"> (arabisch). München: Hueber Verlag. Berlin: GIZ e.V.</w:t>
      </w:r>
      <w:r>
        <w:rPr>
          <w:rFonts w:ascii="Arial" w:hAnsi="Arial" w:cs="Arial"/>
          <w:b w:val="0"/>
          <w:sz w:val="24"/>
          <w:szCs w:val="24"/>
        </w:rPr>
        <w:t xml:space="preserve"> ISBN 978-3-19-022559-0</w:t>
      </w:r>
    </w:p>
    <w:p w14:paraId="37B4C2A7" w14:textId="77777777" w:rsidR="000309FB" w:rsidRDefault="000309FB" w:rsidP="00B26B12">
      <w:pPr>
        <w:pStyle w:val="berschrift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2C9C521E" w14:textId="2D33292B" w:rsidR="000309FB" w:rsidRDefault="000309FB" w:rsidP="000309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Als weitere Materialien können Interessenten ein Lehrerhandbuch mit Zusatzmaterialien und einem zweisprachige</w:t>
      </w:r>
      <w:r w:rsidR="002B2836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Glossar erwerben sowie Bildkarten und ergänzende Übungen kostenlos </w:t>
      </w:r>
      <w:hyperlink r:id="rId9" w:history="1">
        <w:r w:rsidRPr="002B2836">
          <w:rPr>
            <w:rStyle w:val="Hyperlink"/>
            <w:rFonts w:ascii="Arial" w:eastAsia="Arial" w:hAnsi="Arial" w:cs="Arial"/>
            <w:sz w:val="24"/>
            <w:szCs w:val="24"/>
          </w:rPr>
          <w:t>herunterladen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04070D63" w14:textId="77777777" w:rsidR="000309FB" w:rsidRPr="000309FB" w:rsidRDefault="000309FB" w:rsidP="00B26B12">
      <w:pPr>
        <w:pStyle w:val="berschrift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1D994331" w14:textId="77777777" w:rsidR="001E1890" w:rsidRPr="006A31ED" w:rsidRDefault="001E1890" w:rsidP="00B26B12">
      <w:pPr>
        <w:pStyle w:val="berschrift1"/>
        <w:spacing w:beforeAutospacing="0" w:afterAutospacing="0"/>
        <w:rPr>
          <w:rFonts w:ascii="Arial" w:hAnsi="Arial" w:cs="Arial"/>
          <w:sz w:val="24"/>
          <w:szCs w:val="24"/>
        </w:rPr>
      </w:pPr>
    </w:p>
    <w:p w14:paraId="1BB3796F" w14:textId="77777777" w:rsidR="001E1890" w:rsidRPr="008D03E6" w:rsidRDefault="001E1890" w:rsidP="001E1890">
      <w:pPr>
        <w:rPr>
          <w:rFonts w:ascii="Arial" w:hAnsi="Arial" w:cs="Arial"/>
          <w:i/>
          <w:sz w:val="24"/>
          <w:szCs w:val="24"/>
          <w:lang w:val="en-US"/>
        </w:rPr>
      </w:pPr>
      <w:r w:rsidRPr="008D03E6">
        <w:rPr>
          <w:rFonts w:ascii="Arial" w:hAnsi="Arial" w:cs="Arial"/>
          <w:i/>
          <w:sz w:val="24"/>
          <w:szCs w:val="24"/>
          <w:lang w:val="en-US"/>
        </w:rPr>
        <w:t>CC BY SA 3.0</w:t>
      </w:r>
      <w:r w:rsidR="00002D57" w:rsidRPr="008D03E6">
        <w:rPr>
          <w:rFonts w:ascii="Arial" w:hAnsi="Arial" w:cs="Arial"/>
          <w:i/>
          <w:sz w:val="24"/>
          <w:szCs w:val="24"/>
          <w:lang w:val="en-US"/>
        </w:rPr>
        <w:t xml:space="preserve"> DE</w:t>
      </w:r>
      <w:r w:rsidRPr="008D03E6">
        <w:rPr>
          <w:rFonts w:ascii="Arial" w:hAnsi="Arial" w:cs="Arial"/>
          <w:i/>
          <w:sz w:val="24"/>
          <w:szCs w:val="24"/>
          <w:lang w:val="en-US"/>
        </w:rPr>
        <w:t xml:space="preserve"> by </w:t>
      </w:r>
      <w:r w:rsidRPr="008D03E6">
        <w:rPr>
          <w:rFonts w:ascii="Arial" w:hAnsi="Arial" w:cs="Arial"/>
          <w:b/>
          <w:i/>
          <w:sz w:val="24"/>
          <w:szCs w:val="24"/>
          <w:lang w:val="en-US"/>
        </w:rPr>
        <w:t>Susanne Witt</w:t>
      </w:r>
      <w:r w:rsidRPr="008D03E6">
        <w:rPr>
          <w:rFonts w:ascii="Arial" w:hAnsi="Arial" w:cs="Arial"/>
          <w:i/>
          <w:sz w:val="24"/>
          <w:szCs w:val="24"/>
          <w:lang w:val="en-US"/>
        </w:rPr>
        <w:t xml:space="preserve"> für wb-web</w:t>
      </w:r>
    </w:p>
    <w:p w14:paraId="4F464781" w14:textId="77777777" w:rsidR="001E1890" w:rsidRPr="008D03E6" w:rsidRDefault="001E1890" w:rsidP="001E1890">
      <w:pPr>
        <w:rPr>
          <w:rFonts w:ascii="Arial" w:hAnsi="Arial" w:cs="Arial"/>
          <w:b/>
          <w:sz w:val="24"/>
          <w:szCs w:val="24"/>
          <w:lang w:val="en-US"/>
        </w:rPr>
      </w:pPr>
      <w:bookmarkStart w:id="1" w:name="_GoBack"/>
      <w:bookmarkEnd w:id="1"/>
    </w:p>
    <w:p w14:paraId="5631F1D5" w14:textId="1EBF22D3" w:rsidR="00FD4313" w:rsidRPr="008D03E6" w:rsidRDefault="00FD4313" w:rsidP="002B2836">
      <w:pPr>
        <w:pStyle w:val="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49A2"/>
          <w:sz w:val="24"/>
          <w:szCs w:val="24"/>
          <w:lang w:val="en-GB"/>
        </w:rPr>
      </w:pPr>
    </w:p>
    <w:sectPr w:rsidR="00FD4313" w:rsidRPr="008D03E6" w:rsidSect="003B00B1">
      <w:headerReference w:type="default" r:id="rId10"/>
      <w:footerReference w:type="default" r:id="rId11"/>
      <w:pgSz w:w="11906" w:h="16838"/>
      <w:pgMar w:top="2552" w:right="1417" w:bottom="1134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FB901" w14:textId="77777777" w:rsidR="00FD1917" w:rsidRDefault="00FD1917" w:rsidP="00014AE4">
      <w:pPr>
        <w:spacing w:after="0" w:line="240" w:lineRule="auto"/>
      </w:pPr>
      <w:r>
        <w:separator/>
      </w:r>
    </w:p>
  </w:endnote>
  <w:endnote w:type="continuationSeparator" w:id="0">
    <w:p w14:paraId="60FAC8C1" w14:textId="77777777" w:rsidR="00FD1917" w:rsidRDefault="00FD1917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11B64" w14:textId="77777777" w:rsidR="006126B4" w:rsidRPr="006D6AD7" w:rsidRDefault="006126B4" w:rsidP="006D6AD7">
    <w:pPr>
      <w:pBdr>
        <w:top w:val="nil"/>
        <w:left w:val="nil"/>
        <w:bottom w:val="nil"/>
        <w:right w:val="nil"/>
        <w:between w:val="nil"/>
        <w:bar w:val="nil"/>
      </w:pBdr>
      <w:autoSpaceDE w:val="0"/>
      <w:autoSpaceDN w:val="0"/>
      <w:adjustRightInd w:val="0"/>
      <w:spacing w:after="0" w:line="240" w:lineRule="auto"/>
      <w:rPr>
        <w:rFonts w:ascii="DINPro" w:eastAsia="Calibri" w:hAnsi="DINPro" w:cs="DINPro"/>
        <w:color w:val="333333"/>
        <w:sz w:val="16"/>
        <w:szCs w:val="16"/>
        <w:u w:color="000000"/>
        <w:bdr w:val="nil"/>
        <w:lang w:eastAsia="de-DE"/>
      </w:rPr>
    </w:pPr>
    <w:r w:rsidRPr="006D6AD7">
      <w:rPr>
        <w:rFonts w:ascii="Calibri" w:eastAsia="Calibri" w:hAnsi="Calibri" w:cs="Calibri"/>
        <w:noProof/>
        <w:color w:val="000000"/>
        <w:u w:color="000000"/>
        <w:lang w:eastAsia="de-DE"/>
      </w:rPr>
      <w:drawing>
        <wp:anchor distT="0" distB="0" distL="114300" distR="114300" simplePos="0" relativeHeight="251663360" behindDoc="0" locked="0" layoutInCell="1" allowOverlap="1" wp14:anchorId="438357A8" wp14:editId="20C69D3A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94C6BD" w14:textId="77777777" w:rsidR="006126B4" w:rsidRPr="006D6AD7" w:rsidRDefault="006126B4" w:rsidP="006D6AD7">
    <w:pPr>
      <w:pBdr>
        <w:top w:val="nil"/>
        <w:left w:val="nil"/>
        <w:bottom w:val="nil"/>
        <w:right w:val="nil"/>
        <w:between w:val="nil"/>
        <w:bar w:val="nil"/>
      </w:pBdr>
      <w:autoSpaceDE w:val="0"/>
      <w:autoSpaceDN w:val="0"/>
      <w:adjustRightInd w:val="0"/>
      <w:spacing w:after="0" w:line="240" w:lineRule="auto"/>
      <w:rPr>
        <w:rFonts w:ascii="DINPro" w:eastAsia="Calibri" w:hAnsi="DINPro" w:cs="DINPro"/>
        <w:color w:val="333333"/>
        <w:sz w:val="16"/>
        <w:szCs w:val="16"/>
        <w:u w:color="000000"/>
        <w:bdr w:val="nil"/>
        <w:lang w:eastAsia="de-DE"/>
      </w:rPr>
    </w:pPr>
  </w:p>
  <w:p w14:paraId="6498FA5A" w14:textId="77777777" w:rsidR="006126B4" w:rsidRPr="006D6AD7" w:rsidRDefault="006126B4" w:rsidP="006D6AD7">
    <w:pPr>
      <w:pBdr>
        <w:top w:val="nil"/>
        <w:left w:val="nil"/>
        <w:bottom w:val="nil"/>
        <w:right w:val="nil"/>
        <w:between w:val="nil"/>
        <w:bar w:val="nil"/>
      </w:pBdr>
      <w:autoSpaceDE w:val="0"/>
      <w:autoSpaceDN w:val="0"/>
      <w:adjustRightInd w:val="0"/>
      <w:spacing w:after="0" w:line="240" w:lineRule="auto"/>
      <w:rPr>
        <w:rFonts w:ascii="Arial" w:eastAsia="Calibri" w:hAnsi="Arial" w:cs="Arial"/>
        <w:color w:val="333333"/>
        <w:sz w:val="16"/>
        <w:szCs w:val="16"/>
        <w:u w:color="000000"/>
        <w:bdr w:val="nil"/>
        <w:lang w:eastAsia="de-DE"/>
      </w:rPr>
    </w:pPr>
    <w:r w:rsidRPr="006D6AD7">
      <w:rPr>
        <w:rFonts w:ascii="Arial" w:eastAsia="Calibri" w:hAnsi="Arial" w:cs="Arial"/>
        <w:color w:val="333333"/>
        <w:sz w:val="16"/>
        <w:szCs w:val="16"/>
        <w:u w:color="000000"/>
        <w:bdr w:val="nil"/>
        <w:lang w:eastAsia="de-DE"/>
      </w:rPr>
      <w:t xml:space="preserve">Dieses Material steht unter der Creative-Commons-Lizenz Namensnennung – Weitergabe unter gleichen Bedingungen 3.0. Um eine Kopie dieser Lizenz zu sehen, besuchen Sie </w:t>
    </w:r>
    <w:hyperlink r:id="rId2" w:history="1">
      <w:r w:rsidRPr="006D6AD7">
        <w:rPr>
          <w:rFonts w:ascii="Arial" w:eastAsia="Calibri" w:hAnsi="Arial" w:cs="Arial"/>
          <w:color w:val="0000FF" w:themeColor="hyperlink"/>
          <w:sz w:val="16"/>
          <w:szCs w:val="16"/>
          <w:u w:val="single" w:color="000000"/>
          <w:bdr w:val="nil"/>
          <w:lang w:eastAsia="de-DE"/>
        </w:rPr>
        <w:t>http://creativecommons.org/licenses/by-sa/3.0/de/</w:t>
      </w:r>
    </w:hyperlink>
  </w:p>
  <w:p w14:paraId="5BC949A7" w14:textId="77777777" w:rsidR="006126B4" w:rsidRDefault="006126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D0257" w14:textId="77777777" w:rsidR="00FD1917" w:rsidRDefault="00FD1917" w:rsidP="00014AE4">
      <w:pPr>
        <w:spacing w:after="0" w:line="240" w:lineRule="auto"/>
      </w:pPr>
      <w:r>
        <w:separator/>
      </w:r>
    </w:p>
  </w:footnote>
  <w:footnote w:type="continuationSeparator" w:id="0">
    <w:p w14:paraId="20645DED" w14:textId="77777777" w:rsidR="00FD1917" w:rsidRDefault="00FD1917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741E5" w14:textId="77777777" w:rsidR="006126B4" w:rsidRDefault="006126B4">
    <w:pPr>
      <w:pStyle w:val="Kopfzeile"/>
    </w:pP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F7387E6" wp14:editId="1E315EA5">
              <wp:simplePos x="0" y="0"/>
              <wp:positionH relativeFrom="rightMargin">
                <wp:posOffset>11430</wp:posOffset>
              </wp:positionH>
              <wp:positionV relativeFrom="paragraph">
                <wp:posOffset>459105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8A81B3" w14:textId="77777777" w:rsidR="006126B4" w:rsidRPr="00AC2223" w:rsidRDefault="006126B4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AC222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wb-web.de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9E6BF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9pt;margin-top:36.15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D1uNhR3AAAAAgBAAAPAAAAAAAAAAAAAAAAAHsEAABkcnMvZG93bnJldi54&#10;bWxQSwUGAAAAAAQABADzAAAAhAUAAAAA&#10;" stroked="f">
              <v:textbox style="mso-fit-shape-to-text:t">
                <w:txbxContent>
                  <w:p w:rsidR="006126B4" w:rsidRPr="00AC2223" w:rsidRDefault="006126B4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C2223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wb-web.de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7089C7B" wp14:editId="506811E5">
          <wp:simplePos x="0" y="0"/>
          <wp:positionH relativeFrom="column">
            <wp:posOffset>-895350</wp:posOffset>
          </wp:positionH>
          <wp:positionV relativeFrom="paragraph">
            <wp:posOffset>-443865</wp:posOffset>
          </wp:positionV>
          <wp:extent cx="7553325" cy="895350"/>
          <wp:effectExtent l="0" t="0" r="9525" b="0"/>
          <wp:wrapNone/>
          <wp:docPr id="11" name="Bild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595" b="50865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FD0"/>
    <w:multiLevelType w:val="hybridMultilevel"/>
    <w:tmpl w:val="84DE9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4A69"/>
    <w:multiLevelType w:val="hybridMultilevel"/>
    <w:tmpl w:val="E3BE7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067B"/>
    <w:multiLevelType w:val="hybridMultilevel"/>
    <w:tmpl w:val="A1DAD40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7B57D3"/>
    <w:multiLevelType w:val="multilevel"/>
    <w:tmpl w:val="2610A28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30F3A03"/>
    <w:multiLevelType w:val="hybridMultilevel"/>
    <w:tmpl w:val="A07889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C2909"/>
    <w:multiLevelType w:val="hybridMultilevel"/>
    <w:tmpl w:val="86804B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600AB"/>
    <w:multiLevelType w:val="hybridMultilevel"/>
    <w:tmpl w:val="47028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B4818"/>
    <w:multiLevelType w:val="hybridMultilevel"/>
    <w:tmpl w:val="2AB00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40B28"/>
    <w:multiLevelType w:val="hybridMultilevel"/>
    <w:tmpl w:val="3A94CFDE"/>
    <w:lvl w:ilvl="0" w:tplc="0407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718306A5"/>
    <w:multiLevelType w:val="hybridMultilevel"/>
    <w:tmpl w:val="1D9A2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E436E"/>
    <w:multiLevelType w:val="hybridMultilevel"/>
    <w:tmpl w:val="18C8F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02D57"/>
    <w:rsid w:val="00014AE4"/>
    <w:rsid w:val="000309FB"/>
    <w:rsid w:val="00043539"/>
    <w:rsid w:val="00050DDD"/>
    <w:rsid w:val="00063EF6"/>
    <w:rsid w:val="00073A86"/>
    <w:rsid w:val="000A68FE"/>
    <w:rsid w:val="00184D2F"/>
    <w:rsid w:val="001C0B03"/>
    <w:rsid w:val="001D7A0C"/>
    <w:rsid w:val="001E1890"/>
    <w:rsid w:val="002311FA"/>
    <w:rsid w:val="00247A89"/>
    <w:rsid w:val="002A062B"/>
    <w:rsid w:val="002B2836"/>
    <w:rsid w:val="002B431B"/>
    <w:rsid w:val="003277CC"/>
    <w:rsid w:val="00333725"/>
    <w:rsid w:val="003B00B1"/>
    <w:rsid w:val="003B72B2"/>
    <w:rsid w:val="003E319B"/>
    <w:rsid w:val="003E66A6"/>
    <w:rsid w:val="003F27AE"/>
    <w:rsid w:val="00434DAD"/>
    <w:rsid w:val="00437947"/>
    <w:rsid w:val="00463056"/>
    <w:rsid w:val="004A2070"/>
    <w:rsid w:val="004B33AC"/>
    <w:rsid w:val="004C3D3B"/>
    <w:rsid w:val="004C7729"/>
    <w:rsid w:val="00527C57"/>
    <w:rsid w:val="005328AC"/>
    <w:rsid w:val="00546890"/>
    <w:rsid w:val="0058787C"/>
    <w:rsid w:val="005B2946"/>
    <w:rsid w:val="005D7F3A"/>
    <w:rsid w:val="006126B4"/>
    <w:rsid w:val="00621195"/>
    <w:rsid w:val="0062161D"/>
    <w:rsid w:val="00682600"/>
    <w:rsid w:val="006A31ED"/>
    <w:rsid w:val="006C5D3B"/>
    <w:rsid w:val="006D2AF4"/>
    <w:rsid w:val="006D6AD7"/>
    <w:rsid w:val="00723B4B"/>
    <w:rsid w:val="007812A7"/>
    <w:rsid w:val="008162A6"/>
    <w:rsid w:val="00836189"/>
    <w:rsid w:val="00894E64"/>
    <w:rsid w:val="008D00C4"/>
    <w:rsid w:val="008D03E6"/>
    <w:rsid w:val="009536BB"/>
    <w:rsid w:val="00970322"/>
    <w:rsid w:val="00972975"/>
    <w:rsid w:val="009A290B"/>
    <w:rsid w:val="009F5A4E"/>
    <w:rsid w:val="00A35551"/>
    <w:rsid w:val="00A6496C"/>
    <w:rsid w:val="00AC2223"/>
    <w:rsid w:val="00B01655"/>
    <w:rsid w:val="00B26B12"/>
    <w:rsid w:val="00B5663F"/>
    <w:rsid w:val="00B724C4"/>
    <w:rsid w:val="00B812A5"/>
    <w:rsid w:val="00BB1C70"/>
    <w:rsid w:val="00BC1B12"/>
    <w:rsid w:val="00BC2391"/>
    <w:rsid w:val="00BF1FB0"/>
    <w:rsid w:val="00C07190"/>
    <w:rsid w:val="00C4615B"/>
    <w:rsid w:val="00C93D17"/>
    <w:rsid w:val="00CC234A"/>
    <w:rsid w:val="00CF16B5"/>
    <w:rsid w:val="00D02164"/>
    <w:rsid w:val="00D215A2"/>
    <w:rsid w:val="00D33A98"/>
    <w:rsid w:val="00D830D5"/>
    <w:rsid w:val="00DD0A88"/>
    <w:rsid w:val="00DD7B7C"/>
    <w:rsid w:val="00DE2A04"/>
    <w:rsid w:val="00E53294"/>
    <w:rsid w:val="00E5546C"/>
    <w:rsid w:val="00E744F6"/>
    <w:rsid w:val="00E84DD0"/>
    <w:rsid w:val="00EB0F83"/>
    <w:rsid w:val="00EE1999"/>
    <w:rsid w:val="00EF554C"/>
    <w:rsid w:val="00F4298B"/>
    <w:rsid w:val="00F5698F"/>
    <w:rsid w:val="00F60AE8"/>
    <w:rsid w:val="00F644FD"/>
    <w:rsid w:val="00FB6DC8"/>
    <w:rsid w:val="00FD1917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33CA26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1FB0"/>
  </w:style>
  <w:style w:type="paragraph" w:styleId="berschrift1">
    <w:name w:val="heading 1"/>
    <w:basedOn w:val="Standard"/>
    <w:link w:val="berschrift1Zchn"/>
    <w:uiPriority w:val="9"/>
    <w:qFormat/>
    <w:rsid w:val="00BF1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1Zchn">
    <w:name w:val="Überschrift 1 Zchn"/>
    <w:basedOn w:val="Absatz-Standardschriftart"/>
    <w:link w:val="berschrift1"/>
    <w:uiPriority w:val="9"/>
    <w:rsid w:val="00BF1FB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BF1FB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F1FB0"/>
    <w:pPr>
      <w:ind w:left="720"/>
      <w:contextualSpacing/>
    </w:pPr>
  </w:style>
  <w:style w:type="paragraph" w:customStyle="1" w:styleId="Standard1">
    <w:name w:val="Standard1"/>
    <w:rsid w:val="009536BB"/>
    <w:pPr>
      <w:spacing w:after="0"/>
    </w:pPr>
    <w:rPr>
      <w:rFonts w:ascii="Arial" w:eastAsia="Arial" w:hAnsi="Arial" w:cs="Arial"/>
      <w:color w:val="00000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43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43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43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43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431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31B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724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bcami.de/downloads/Curriculum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A0478-686D-4B66-BFDC-669AFDD5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DCA0DF56</Template>
  <TotalTime>0</TotalTime>
  <Pages>2</Pages>
  <Words>350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Witt, Susanne</cp:lastModifiedBy>
  <cp:revision>2</cp:revision>
  <cp:lastPrinted>2015-09-24T07:14:00Z</cp:lastPrinted>
  <dcterms:created xsi:type="dcterms:W3CDTF">2018-04-03T13:00:00Z</dcterms:created>
  <dcterms:modified xsi:type="dcterms:W3CDTF">2018-04-03T13:00:00Z</dcterms:modified>
</cp:coreProperties>
</file>