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FC5CB" w14:textId="77777777" w:rsidR="002A3ABA" w:rsidRDefault="002A3ABA" w:rsidP="002A3ABA">
      <w:pPr>
        <w:pStyle w:val="Materialtyp1"/>
      </w:pPr>
      <w:r>
        <w:t>Handlungsanleitung</w:t>
      </w:r>
    </w:p>
    <w:p w14:paraId="563BDAA8" w14:textId="2A73E0B4" w:rsidR="00B84C4C" w:rsidRDefault="00B84C4C" w:rsidP="002A3ABA">
      <w:pPr>
        <w:pStyle w:val="Headline"/>
      </w:pPr>
      <w:r>
        <w:t xml:space="preserve">Virtuelle Tafeln wie </w:t>
      </w:r>
      <w:proofErr w:type="spellStart"/>
      <w:r>
        <w:t>Padlets</w:t>
      </w:r>
      <w:proofErr w:type="spellEnd"/>
      <w:r>
        <w:t xml:space="preserve"> und </w:t>
      </w:r>
      <w:proofErr w:type="spellStart"/>
      <w:r>
        <w:t>Stormboard</w:t>
      </w:r>
      <w:proofErr w:type="spellEnd"/>
      <w:r>
        <w:t xml:space="preserve"> – Einsatzmöglichkeiten und Funktionen</w:t>
      </w:r>
    </w:p>
    <w:p w14:paraId="076840CE" w14:textId="77777777" w:rsidR="00B84C4C" w:rsidRDefault="00B84C4C" w:rsidP="002A3ABA">
      <w:pPr>
        <w:pStyle w:val="Teaser"/>
      </w:pPr>
      <w:r>
        <w:rPr>
          <w:highlight w:val="white"/>
        </w:rPr>
        <w:t>Digitale Tafeln im Internet können im Bildungsbetrieb ideal eingesetzt werden, da sie flexibel einzusetzen sind und eine multiple Anwendungsbreite anbieten – unterschiedliche pädagogische Konzepte können so nach eigenem Gusto durch digitale Tafeln bereichert werden. Sie übertreffen ihre analogen Verwandten – die Kreidetafeln – in ihrer Funktionalität um ein Vielfaches. Was die digitalen Tafeln bieten und wie sie sich im Seminarkontext einsetzen lassen, wird näher beleuchtet. Zwei unterschiedliche Tools (</w:t>
      </w:r>
      <w:proofErr w:type="spellStart"/>
      <w:r>
        <w:rPr>
          <w:highlight w:val="white"/>
        </w:rPr>
        <w:t>Padlet</w:t>
      </w:r>
      <w:proofErr w:type="spellEnd"/>
      <w:r>
        <w:rPr>
          <w:highlight w:val="white"/>
        </w:rPr>
        <w:t xml:space="preserve"> und Stromboard) werden exemplarisch vorgestellt.</w:t>
      </w:r>
    </w:p>
    <w:p w14:paraId="78DE624D" w14:textId="77777777" w:rsidR="00B84C4C" w:rsidRDefault="00B84C4C" w:rsidP="002A3ABA">
      <w:pPr>
        <w:pStyle w:val="Zwischenberschrift"/>
      </w:pPr>
      <w:r>
        <w:rPr>
          <w:highlight w:val="white"/>
        </w:rPr>
        <w:t>1. Schritt: Zwei Grundkonzepte – eine Entscheidung bevor es losgeht</w:t>
      </w:r>
    </w:p>
    <w:p w14:paraId="066E21C8" w14:textId="696961A0" w:rsidR="00B84C4C" w:rsidRDefault="00B84C4C" w:rsidP="002A3ABA">
      <w:pPr>
        <w:pStyle w:val="Flietext"/>
      </w:pPr>
      <w:r>
        <w:rPr>
          <w:highlight w:val="white"/>
        </w:rPr>
        <w:t xml:space="preserve">Digitale Tafeln stellen grundsätzlich eine Fläche im Internet zur Verfügung, an die unterschiedliche Dinge gepostet werden können (Texte, Bilder, Videos, Links, etc.). Im Gegensatz zu ihren analogen Verwandten kann an digitalen Tafeln auch </w:t>
      </w:r>
      <w:proofErr w:type="spellStart"/>
      <w:r>
        <w:rPr>
          <w:highlight w:val="white"/>
        </w:rPr>
        <w:t>kollaborativ</w:t>
      </w:r>
      <w:proofErr w:type="spellEnd"/>
      <w:r>
        <w:rPr>
          <w:highlight w:val="white"/>
        </w:rPr>
        <w:t xml:space="preserve"> gearbeitet werden. Diese grundlegenden Feststellungen treffen auf beide hier beschriebenen digitalen Tafeln zu. Dennoch muss hier bereits eine Grundentscheidung getroffen werden, denn </w:t>
      </w:r>
      <w:hyperlink r:id="rId8" w:history="1">
        <w:proofErr w:type="spellStart"/>
        <w:r w:rsidRPr="002A3ABA">
          <w:rPr>
            <w:rStyle w:val="Hyperlink"/>
            <w:highlight w:val="white"/>
          </w:rPr>
          <w:t>Padlet</w:t>
        </w:r>
        <w:proofErr w:type="spellEnd"/>
      </w:hyperlink>
      <w:r>
        <w:rPr>
          <w:highlight w:val="white"/>
        </w:rPr>
        <w:t xml:space="preserve"> kann auch ohne Login genutzt werden, wohingegen bei </w:t>
      </w:r>
      <w:hyperlink r:id="rId9" w:history="1">
        <w:proofErr w:type="spellStart"/>
        <w:r w:rsidRPr="002A3ABA">
          <w:rPr>
            <w:rStyle w:val="Hyperlink"/>
            <w:highlight w:val="white"/>
          </w:rPr>
          <w:t>Stormboard</w:t>
        </w:r>
        <w:proofErr w:type="spellEnd"/>
      </w:hyperlink>
      <w:r w:rsidR="002A3ABA">
        <w:rPr>
          <w:highlight w:val="white"/>
        </w:rPr>
        <w:t xml:space="preserve"> </w:t>
      </w:r>
      <w:r>
        <w:rPr>
          <w:highlight w:val="white"/>
        </w:rPr>
        <w:t xml:space="preserve">ein Login per Registrierung oder </w:t>
      </w:r>
      <w:proofErr w:type="spellStart"/>
      <w:r>
        <w:rPr>
          <w:highlight w:val="white"/>
        </w:rPr>
        <w:t>Social</w:t>
      </w:r>
      <w:proofErr w:type="spellEnd"/>
      <w:r>
        <w:rPr>
          <w:highlight w:val="white"/>
        </w:rPr>
        <w:t xml:space="preserve"> Login zwingend notwendig ist, um damit arbeiten zu können. Ein entscheidender Unterschied zwischen den beiden Tools ist, dass man einen </w:t>
      </w:r>
      <w:proofErr w:type="spellStart"/>
      <w:r>
        <w:rPr>
          <w:highlight w:val="white"/>
        </w:rPr>
        <w:t>Padlet</w:t>
      </w:r>
      <w:proofErr w:type="spellEnd"/>
      <w:r>
        <w:rPr>
          <w:highlight w:val="white"/>
        </w:rPr>
        <w:t xml:space="preserve">-Link weitergeben kann und andere Personen dieses </w:t>
      </w:r>
      <w:proofErr w:type="spellStart"/>
      <w:r>
        <w:rPr>
          <w:highlight w:val="white"/>
        </w:rPr>
        <w:t>Padlet</w:t>
      </w:r>
      <w:proofErr w:type="spellEnd"/>
      <w:r>
        <w:rPr>
          <w:highlight w:val="white"/>
        </w:rPr>
        <w:t xml:space="preserve"> dann nutzen oder auch nur anschauen können (auch ohne Login). Je nach Einstellung ist auch das </w:t>
      </w:r>
      <w:proofErr w:type="spellStart"/>
      <w:r>
        <w:rPr>
          <w:highlight w:val="white"/>
        </w:rPr>
        <w:t>kollaborative</w:t>
      </w:r>
      <w:proofErr w:type="spellEnd"/>
      <w:r>
        <w:rPr>
          <w:highlight w:val="white"/>
        </w:rPr>
        <w:t xml:space="preserve"> Arbeiten ohne Login möglich. Bei </w:t>
      </w:r>
      <w:proofErr w:type="spellStart"/>
      <w:r>
        <w:rPr>
          <w:highlight w:val="white"/>
        </w:rPr>
        <w:t>Stormboard</w:t>
      </w:r>
      <w:proofErr w:type="spellEnd"/>
      <w:r>
        <w:rPr>
          <w:highlight w:val="white"/>
        </w:rPr>
        <w:t xml:space="preserve"> hingegen wird die digitale Tafel nur im geschützten Raum, sprich nach Login, verfügbar. Damit ist der Zugang zu </w:t>
      </w:r>
      <w:proofErr w:type="spellStart"/>
      <w:r>
        <w:rPr>
          <w:highlight w:val="white"/>
        </w:rPr>
        <w:t>Stormboard</w:t>
      </w:r>
      <w:proofErr w:type="spellEnd"/>
      <w:r>
        <w:rPr>
          <w:highlight w:val="white"/>
        </w:rPr>
        <w:t xml:space="preserve"> sicher aufwendiger, kann aber Sinn machen, wenn ein privater </w:t>
      </w:r>
      <w:proofErr w:type="spellStart"/>
      <w:r>
        <w:rPr>
          <w:highlight w:val="white"/>
        </w:rPr>
        <w:t>Lernraum</w:t>
      </w:r>
      <w:proofErr w:type="spellEnd"/>
      <w:r>
        <w:rPr>
          <w:highlight w:val="white"/>
        </w:rPr>
        <w:t xml:space="preserve"> zur Kollaboration eine sehr hohe Priorität hat. Beide Tools erlauben neben der Registrierung auch </w:t>
      </w:r>
      <w:proofErr w:type="spellStart"/>
      <w:r>
        <w:rPr>
          <w:highlight w:val="white"/>
        </w:rPr>
        <w:t>Social</w:t>
      </w:r>
      <w:proofErr w:type="spellEnd"/>
      <w:r>
        <w:rPr>
          <w:highlight w:val="white"/>
        </w:rPr>
        <w:t xml:space="preserve"> Logins – </w:t>
      </w:r>
      <w:proofErr w:type="spellStart"/>
      <w:r>
        <w:rPr>
          <w:highlight w:val="white"/>
        </w:rPr>
        <w:t>Padlet</w:t>
      </w:r>
      <w:proofErr w:type="spellEnd"/>
      <w:r>
        <w:rPr>
          <w:highlight w:val="white"/>
        </w:rPr>
        <w:t xml:space="preserve"> via Facebook oder Google, </w:t>
      </w:r>
      <w:proofErr w:type="spellStart"/>
      <w:r>
        <w:rPr>
          <w:highlight w:val="white"/>
        </w:rPr>
        <w:t>Stormboard</w:t>
      </w:r>
      <w:proofErr w:type="spellEnd"/>
      <w:r>
        <w:rPr>
          <w:highlight w:val="white"/>
        </w:rPr>
        <w:t xml:space="preserve"> via Google, Live, LinkedIn oder Facebook.</w:t>
      </w:r>
    </w:p>
    <w:p w14:paraId="48CCD093" w14:textId="77777777" w:rsidR="00B84C4C" w:rsidRDefault="00B84C4C" w:rsidP="002A3ABA">
      <w:pPr>
        <w:pStyle w:val="Flietext"/>
      </w:pPr>
      <w:r>
        <w:rPr>
          <w:b/>
          <w:highlight w:val="white"/>
        </w:rPr>
        <w:t>2. Schritt: Funktionalitäten – Was können die digitalen Tafeln?</w:t>
      </w:r>
    </w:p>
    <w:p w14:paraId="746A7BE1" w14:textId="77777777" w:rsidR="00B84C4C" w:rsidRDefault="00B84C4C" w:rsidP="002A3ABA">
      <w:pPr>
        <w:pStyle w:val="Flietext"/>
      </w:pPr>
      <w:r>
        <w:rPr>
          <w:highlight w:val="white"/>
        </w:rPr>
        <w:t xml:space="preserve">Grundsätzlich ist eine digitale Tafel erst einmal nichts anderes als eine freie (Bild-)Fläche im Browserfenster. Diese Fläche kann beschrieben und mit unterschiedlichen Medien befüllt werden. </w:t>
      </w:r>
      <w:proofErr w:type="spellStart"/>
      <w:r>
        <w:rPr>
          <w:highlight w:val="white"/>
        </w:rPr>
        <w:t>Padlet</w:t>
      </w:r>
      <w:proofErr w:type="spellEnd"/>
      <w:r>
        <w:rPr>
          <w:highlight w:val="white"/>
        </w:rPr>
        <w:t xml:space="preserve"> nennt seine Tafeln „Wand“, bei </w:t>
      </w:r>
      <w:proofErr w:type="spellStart"/>
      <w:r>
        <w:rPr>
          <w:highlight w:val="white"/>
        </w:rPr>
        <w:t>Stormboard</w:t>
      </w:r>
      <w:proofErr w:type="spellEnd"/>
      <w:r>
        <w:rPr>
          <w:highlight w:val="white"/>
        </w:rPr>
        <w:t xml:space="preserve"> ist es ein </w:t>
      </w:r>
      <w:r>
        <w:rPr>
          <w:i/>
          <w:highlight w:val="white"/>
        </w:rPr>
        <w:t>Storm</w:t>
      </w:r>
      <w:r>
        <w:rPr>
          <w:highlight w:val="white"/>
        </w:rPr>
        <w:t xml:space="preserve">. Beide Anbieter erlauben eine individuelle Gestaltung </w:t>
      </w:r>
      <w:r>
        <w:rPr>
          <w:highlight w:val="white"/>
        </w:rPr>
        <w:lastRenderedPageBreak/>
        <w:t xml:space="preserve">der Tafel durch Überschriften, Hintergründe und Farben. </w:t>
      </w:r>
      <w:proofErr w:type="spellStart"/>
      <w:r>
        <w:rPr>
          <w:highlight w:val="white"/>
        </w:rPr>
        <w:t>Stormboard</w:t>
      </w:r>
      <w:proofErr w:type="spellEnd"/>
      <w:r>
        <w:rPr>
          <w:highlight w:val="white"/>
        </w:rPr>
        <w:t xml:space="preserve"> verlässt an dieser Stelle das rudimentäre Dasein einer digitalen Tafel und bietet auch verschiedene Templates an, die für unterschiedliche Ansprüche genutzt werden können und die digitale Tafel vorformen, für verschiedene Einsatzbereiche vorbereiten und an individuelle Bedürfnisse anpassen (z.B. Zeitpläne, Mindmaps etc.). Bei </w:t>
      </w:r>
      <w:proofErr w:type="spellStart"/>
      <w:r>
        <w:rPr>
          <w:highlight w:val="white"/>
        </w:rPr>
        <w:t>Stormboard</w:t>
      </w:r>
      <w:proofErr w:type="spellEnd"/>
      <w:r>
        <w:rPr>
          <w:highlight w:val="white"/>
        </w:rPr>
        <w:t xml:space="preserve"> gilt hier „form </w:t>
      </w:r>
      <w:proofErr w:type="spellStart"/>
      <w:r>
        <w:rPr>
          <w:highlight w:val="white"/>
        </w:rPr>
        <w:t>follows</w:t>
      </w:r>
      <w:proofErr w:type="spellEnd"/>
      <w:r>
        <w:rPr>
          <w:highlight w:val="white"/>
        </w:rPr>
        <w:t xml:space="preserve"> </w:t>
      </w:r>
      <w:proofErr w:type="spellStart"/>
      <w:r>
        <w:rPr>
          <w:highlight w:val="white"/>
        </w:rPr>
        <w:t>function</w:t>
      </w:r>
      <w:proofErr w:type="spellEnd"/>
      <w:r>
        <w:rPr>
          <w:highlight w:val="white"/>
        </w:rPr>
        <w:t>”.</w:t>
      </w:r>
    </w:p>
    <w:p w14:paraId="341F56D5" w14:textId="77777777" w:rsidR="00B84C4C" w:rsidRDefault="00B84C4C" w:rsidP="002A3ABA">
      <w:pPr>
        <w:pStyle w:val="Flietext"/>
      </w:pPr>
      <w:proofErr w:type="spellStart"/>
      <w:r>
        <w:rPr>
          <w:highlight w:val="white"/>
        </w:rPr>
        <w:t>Padlet</w:t>
      </w:r>
      <w:proofErr w:type="spellEnd"/>
      <w:r>
        <w:rPr>
          <w:highlight w:val="white"/>
        </w:rPr>
        <w:t xml:space="preserve"> bietet drei Layout-Formate – drei Varianten zur Anordnung und Sortierung der Beiträge – und bleibt damit dem Bild der „Tafel“ näher.</w:t>
      </w:r>
    </w:p>
    <w:p w14:paraId="3152F907" w14:textId="77777777" w:rsidR="00B84C4C" w:rsidRDefault="00B84C4C" w:rsidP="002A3ABA">
      <w:pPr>
        <w:pStyle w:val="Flietext"/>
      </w:pPr>
      <w:r>
        <w:rPr>
          <w:noProof/>
        </w:rPr>
        <w:drawing>
          <wp:inline distT="0" distB="0" distL="0" distR="0" wp14:anchorId="581FFDC1" wp14:editId="42E088BD">
            <wp:extent cx="5667375" cy="3095588"/>
            <wp:effectExtent l="0" t="0" r="0" b="0"/>
            <wp:docPr id="10" name="image02.jpg" descr="Padlet.jpg"/>
            <wp:cNvGraphicFramePr/>
            <a:graphic xmlns:a="http://schemas.openxmlformats.org/drawingml/2006/main">
              <a:graphicData uri="http://schemas.openxmlformats.org/drawingml/2006/picture">
                <pic:pic xmlns:pic="http://schemas.openxmlformats.org/drawingml/2006/picture">
                  <pic:nvPicPr>
                    <pic:cNvPr id="0" name="image02.jpg" descr="Padlet.jpg"/>
                    <pic:cNvPicPr preferRelativeResize="0"/>
                  </pic:nvPicPr>
                  <pic:blipFill>
                    <a:blip r:embed="rId10"/>
                    <a:srcRect/>
                    <a:stretch>
                      <a:fillRect/>
                    </a:stretch>
                  </pic:blipFill>
                  <pic:spPr>
                    <a:xfrm>
                      <a:off x="0" y="0"/>
                      <a:ext cx="5673791" cy="3099093"/>
                    </a:xfrm>
                    <a:prstGeom prst="rect">
                      <a:avLst/>
                    </a:prstGeom>
                    <a:ln/>
                  </pic:spPr>
                </pic:pic>
              </a:graphicData>
            </a:graphic>
          </wp:inline>
        </w:drawing>
      </w:r>
    </w:p>
    <w:p w14:paraId="680E330F" w14:textId="0430FC22" w:rsidR="00827F83" w:rsidRPr="00827F83" w:rsidRDefault="00827F83" w:rsidP="00827F83">
      <w:pPr>
        <w:pStyle w:val="Flietext"/>
        <w:rPr>
          <w:i/>
          <w:sz w:val="20"/>
          <w:szCs w:val="20"/>
        </w:rPr>
      </w:pPr>
      <w:r w:rsidRPr="00827F83">
        <w:rPr>
          <w:i/>
          <w:sz w:val="20"/>
          <w:szCs w:val="20"/>
          <w:highlight w:val="white"/>
        </w:rPr>
        <w:t>Screenshot „</w:t>
      </w:r>
      <w:proofErr w:type="spellStart"/>
      <w:r>
        <w:rPr>
          <w:i/>
          <w:sz w:val="20"/>
          <w:szCs w:val="20"/>
          <w:highlight w:val="white"/>
        </w:rPr>
        <w:t>Padlet</w:t>
      </w:r>
      <w:proofErr w:type="spellEnd"/>
      <w:r w:rsidRPr="00827F83">
        <w:rPr>
          <w:i/>
          <w:sz w:val="20"/>
          <w:szCs w:val="20"/>
          <w:highlight w:val="white"/>
        </w:rPr>
        <w:t xml:space="preserve">” </w:t>
      </w:r>
      <w:r>
        <w:rPr>
          <w:i/>
          <w:sz w:val="20"/>
          <w:szCs w:val="20"/>
          <w:highlight w:val="white"/>
        </w:rPr>
        <w:t>(</w:t>
      </w:r>
      <w:r w:rsidR="005C468F">
        <w:rPr>
          <w:i/>
          <w:iCs/>
          <w:sz w:val="20"/>
          <w:szCs w:val="20"/>
        </w:rPr>
        <w:t>Bild: Screenshot, fäl</w:t>
      </w:r>
      <w:r w:rsidR="005C468F">
        <w:rPr>
          <w:i/>
          <w:iCs/>
          <w:sz w:val="20"/>
          <w:szCs w:val="20"/>
        </w:rPr>
        <w:t>lt nicht unter eine freie Lizenz)</w:t>
      </w:r>
    </w:p>
    <w:p w14:paraId="57285E9A" w14:textId="4E7AFAD1" w:rsidR="00B84C4C" w:rsidRDefault="00B84C4C" w:rsidP="002A3ABA">
      <w:pPr>
        <w:pStyle w:val="Flietext"/>
      </w:pPr>
    </w:p>
    <w:p w14:paraId="42C22AB6" w14:textId="77777777" w:rsidR="00B84C4C" w:rsidRDefault="00B84C4C" w:rsidP="002A3ABA">
      <w:pPr>
        <w:pStyle w:val="Flietext"/>
      </w:pPr>
      <w:r>
        <w:rPr>
          <w:highlight w:val="white"/>
        </w:rPr>
        <w:t>Die digitale Tafel erlaubt Nutzern das Anbringen von Text-Notizen auf der Tafel – vergleichbar mit den klassischen Post-</w:t>
      </w:r>
      <w:proofErr w:type="spellStart"/>
      <w:r>
        <w:rPr>
          <w:highlight w:val="white"/>
        </w:rPr>
        <w:t>its</w:t>
      </w:r>
      <w:proofErr w:type="spellEnd"/>
      <w:r>
        <w:rPr>
          <w:highlight w:val="white"/>
        </w:rPr>
        <w:t xml:space="preserve">. Auch Fotos, Videos, Dokumente und Links können dort platziert werden. Durch einen Doppelklick öffnet sich auf der freien Fläche ein Dialogfeld, das die Auswahl unterschiedlicher Dateiformate möglich </w:t>
      </w:r>
      <w:proofErr w:type="gramStart"/>
      <w:r>
        <w:rPr>
          <w:highlight w:val="white"/>
        </w:rPr>
        <w:t>macht</w:t>
      </w:r>
      <w:proofErr w:type="gramEnd"/>
      <w:r>
        <w:rPr>
          <w:highlight w:val="white"/>
        </w:rPr>
        <w:t xml:space="preserve">. Hier können Materialien eingebunden werden, die online zu finden sind oder die auf der eigenen Festplatte liegen. </w:t>
      </w:r>
      <w:proofErr w:type="spellStart"/>
      <w:r>
        <w:rPr>
          <w:highlight w:val="white"/>
        </w:rPr>
        <w:t>Stormboard</w:t>
      </w:r>
      <w:proofErr w:type="spellEnd"/>
      <w:r>
        <w:rPr>
          <w:highlight w:val="white"/>
        </w:rPr>
        <w:t xml:space="preserve"> ist an dieser Stelle restriktiver, da keine Links aus dem Internet auf der Tafel gepostet werden können, mit der Ausnahme von Videos (und diese auch nur via </w:t>
      </w:r>
      <w:proofErr w:type="spellStart"/>
      <w:r>
        <w:rPr>
          <w:highlight w:val="white"/>
        </w:rPr>
        <w:t>Youtube</w:t>
      </w:r>
      <w:proofErr w:type="spellEnd"/>
      <w:r>
        <w:rPr>
          <w:highlight w:val="white"/>
        </w:rPr>
        <w:t xml:space="preserve">). Alle anderen Dateien müssen als lokale Dateien angehängt werden. </w:t>
      </w:r>
      <w:proofErr w:type="spellStart"/>
      <w:r>
        <w:rPr>
          <w:highlight w:val="white"/>
        </w:rPr>
        <w:t>Stormboard</w:t>
      </w:r>
      <w:proofErr w:type="spellEnd"/>
      <w:r>
        <w:rPr>
          <w:highlight w:val="white"/>
        </w:rPr>
        <w:t xml:space="preserve"> bietet zusätzlich noch die </w:t>
      </w:r>
      <w:r>
        <w:rPr>
          <w:highlight w:val="white"/>
        </w:rPr>
        <w:lastRenderedPageBreak/>
        <w:t xml:space="preserve">Möglichkeit eigene Zeichnungen (Sketches) anzufertigen und Index Cards (ein </w:t>
      </w:r>
      <w:r>
        <w:rPr>
          <w:i/>
          <w:highlight w:val="white"/>
        </w:rPr>
        <w:t>Storm</w:t>
      </w:r>
      <w:r>
        <w:rPr>
          <w:highlight w:val="white"/>
        </w:rPr>
        <w:t xml:space="preserve"> in einem </w:t>
      </w:r>
      <w:r>
        <w:rPr>
          <w:i/>
          <w:highlight w:val="white"/>
        </w:rPr>
        <w:t>Storm</w:t>
      </w:r>
      <w:r>
        <w:rPr>
          <w:highlight w:val="white"/>
        </w:rPr>
        <w:t>) einzubinden. Bei allen digitalen Tafeln ist es natürlich notwendig, wie bei den analogen Tafeln, dass eine Struktur auf der Tafel erzeugt wird, so dass der Betrachter folgen kann.</w:t>
      </w:r>
    </w:p>
    <w:p w14:paraId="08F30D3D" w14:textId="77777777" w:rsidR="00B84C4C" w:rsidRDefault="00B84C4C" w:rsidP="002A3ABA">
      <w:pPr>
        <w:pStyle w:val="Flietext"/>
      </w:pPr>
      <w:r>
        <w:rPr>
          <w:noProof/>
        </w:rPr>
        <w:drawing>
          <wp:inline distT="114300" distB="114300" distL="114300" distR="114300" wp14:anchorId="41F7F07B" wp14:editId="22CFC7E3">
            <wp:extent cx="5705475" cy="2771775"/>
            <wp:effectExtent l="0" t="0" r="9525" b="9525"/>
            <wp:docPr id="2" name="image03.jpg" descr="Stormboard.JPG"/>
            <wp:cNvGraphicFramePr/>
            <a:graphic xmlns:a="http://schemas.openxmlformats.org/drawingml/2006/main">
              <a:graphicData uri="http://schemas.openxmlformats.org/drawingml/2006/picture">
                <pic:pic xmlns:pic="http://schemas.openxmlformats.org/drawingml/2006/picture">
                  <pic:nvPicPr>
                    <pic:cNvPr id="0" name="image03.jpg" descr="Stormboard.JPG"/>
                    <pic:cNvPicPr preferRelativeResize="0"/>
                  </pic:nvPicPr>
                  <pic:blipFill>
                    <a:blip r:embed="rId11"/>
                    <a:srcRect/>
                    <a:stretch>
                      <a:fillRect/>
                    </a:stretch>
                  </pic:blipFill>
                  <pic:spPr>
                    <a:xfrm>
                      <a:off x="0" y="0"/>
                      <a:ext cx="5705537" cy="2771805"/>
                    </a:xfrm>
                    <a:prstGeom prst="rect">
                      <a:avLst/>
                    </a:prstGeom>
                    <a:ln/>
                  </pic:spPr>
                </pic:pic>
              </a:graphicData>
            </a:graphic>
          </wp:inline>
        </w:drawing>
      </w:r>
    </w:p>
    <w:p w14:paraId="6F4F8492" w14:textId="66042FA5" w:rsidR="00B84C4C" w:rsidRPr="00827F83" w:rsidRDefault="00827F83" w:rsidP="002A3ABA">
      <w:pPr>
        <w:pStyle w:val="Flietext"/>
        <w:rPr>
          <w:i/>
          <w:sz w:val="20"/>
          <w:szCs w:val="20"/>
        </w:rPr>
      </w:pPr>
      <w:r w:rsidRPr="00827F83">
        <w:rPr>
          <w:i/>
          <w:sz w:val="20"/>
          <w:szCs w:val="20"/>
          <w:highlight w:val="white"/>
        </w:rPr>
        <w:t>Screenshot „</w:t>
      </w:r>
      <w:proofErr w:type="spellStart"/>
      <w:r w:rsidRPr="00827F83">
        <w:rPr>
          <w:i/>
          <w:sz w:val="20"/>
          <w:szCs w:val="20"/>
          <w:highlight w:val="white"/>
        </w:rPr>
        <w:t>Stormboard</w:t>
      </w:r>
      <w:proofErr w:type="spellEnd"/>
      <w:r w:rsidRPr="00827F83">
        <w:rPr>
          <w:i/>
          <w:sz w:val="20"/>
          <w:szCs w:val="20"/>
          <w:highlight w:val="white"/>
        </w:rPr>
        <w:t xml:space="preserve">” </w:t>
      </w:r>
      <w:r>
        <w:rPr>
          <w:i/>
          <w:sz w:val="20"/>
          <w:szCs w:val="20"/>
          <w:highlight w:val="white"/>
        </w:rPr>
        <w:t>(</w:t>
      </w:r>
      <w:r w:rsidR="005C468F">
        <w:rPr>
          <w:i/>
          <w:iCs/>
          <w:sz w:val="20"/>
          <w:szCs w:val="20"/>
        </w:rPr>
        <w:t>Bild: Screenshot, fällt nicht unter eine freie Lizenz</w:t>
      </w:r>
      <w:bookmarkStart w:id="0" w:name="_GoBack"/>
      <w:bookmarkEnd w:id="0"/>
      <w:r w:rsidRPr="00827F83">
        <w:rPr>
          <w:i/>
          <w:sz w:val="20"/>
          <w:szCs w:val="20"/>
          <w:highlight w:val="white"/>
        </w:rPr>
        <w:t>)</w:t>
      </w:r>
    </w:p>
    <w:p w14:paraId="3769DB89" w14:textId="77777777" w:rsidR="00B84C4C" w:rsidRDefault="00B84C4C" w:rsidP="002A3ABA">
      <w:pPr>
        <w:pStyle w:val="Flietext"/>
      </w:pPr>
      <w:r>
        <w:rPr>
          <w:b/>
          <w:highlight w:val="white"/>
        </w:rPr>
        <w:t>3. Schritt: Anwendungsmöglichkeiten – was man mit digitalen Tafeln machen kann</w:t>
      </w:r>
    </w:p>
    <w:p w14:paraId="7317D602" w14:textId="77777777" w:rsidR="00B84C4C" w:rsidRDefault="00B84C4C" w:rsidP="002A3ABA">
      <w:pPr>
        <w:pStyle w:val="Flietext"/>
        <w:rPr>
          <w:highlight w:val="white"/>
        </w:rPr>
      </w:pPr>
      <w:r>
        <w:rPr>
          <w:b/>
          <w:highlight w:val="white"/>
        </w:rPr>
        <w:t>Brainstorming</w:t>
      </w:r>
      <w:r>
        <w:rPr>
          <w:highlight w:val="white"/>
        </w:rPr>
        <w:t xml:space="preserve">: Die digitalen Tafeln können als Visualisierungstool für </w:t>
      </w:r>
      <w:proofErr w:type="spellStart"/>
      <w:r>
        <w:rPr>
          <w:highlight w:val="white"/>
        </w:rPr>
        <w:t>Brainstormingeinheiten</w:t>
      </w:r>
      <w:proofErr w:type="spellEnd"/>
      <w:r>
        <w:rPr>
          <w:highlight w:val="white"/>
        </w:rPr>
        <w:t xml:space="preserve"> und zur Abfrage von Erwartungshaltungen genutzt werden. Die Teilnehmenden können ihre Gedanken und Ergebnisse auf der Tafel platzieren. So kann schnell ein Gruppenergebnis kreiert und festgehalten werden.</w:t>
      </w:r>
    </w:p>
    <w:p w14:paraId="7479F040" w14:textId="77777777" w:rsidR="00B84C4C" w:rsidRDefault="00B84C4C" w:rsidP="002A3ABA">
      <w:pPr>
        <w:pStyle w:val="Flietext"/>
        <w:rPr>
          <w:highlight w:val="white"/>
        </w:rPr>
      </w:pPr>
      <w:r>
        <w:rPr>
          <w:b/>
          <w:highlight w:val="white"/>
        </w:rPr>
        <w:t>Inhaltlicher Themenpool</w:t>
      </w:r>
      <w:r>
        <w:rPr>
          <w:highlight w:val="white"/>
        </w:rPr>
        <w:t>: Eine digitale Tafel kann darüber hinaus als Pool einer (Internet-)Recherche verwendet werden. Alle Dinge, die für die Bearbeitung eines Themas wichtig sind, können hier hinterlegt werden, so dass Gruppen Rechercheergebnisse zentral sammeln, besprechen und auswerten können.</w:t>
      </w:r>
    </w:p>
    <w:p w14:paraId="0502CC40" w14:textId="77777777" w:rsidR="00B84C4C" w:rsidRDefault="00B84C4C" w:rsidP="002A3ABA">
      <w:pPr>
        <w:pStyle w:val="Flietext"/>
        <w:rPr>
          <w:highlight w:val="white"/>
        </w:rPr>
      </w:pPr>
      <w:r>
        <w:rPr>
          <w:b/>
          <w:highlight w:val="white"/>
        </w:rPr>
        <w:t>Präsentationstool</w:t>
      </w:r>
      <w:r>
        <w:rPr>
          <w:highlight w:val="white"/>
        </w:rPr>
        <w:t xml:space="preserve">: Wer zu Präsentationszwecken nicht auf herkömmliche Tools zurückgreifen möchte, kann die digitalen Tafeln als Präsentationstool nutzen. Ein Thema kann hier über Text mit zusätzlicher Unterstützung von Bildern und Videos vorgestellt werden. Das Publikum bekommt ein Gesamtbild präsentiert. Der </w:t>
      </w:r>
      <w:r>
        <w:rPr>
          <w:highlight w:val="white"/>
        </w:rPr>
        <w:lastRenderedPageBreak/>
        <w:t>Vortragende kann die einzelnen Notizen und digitalen Medien anklicken und dann sein Thema moderieren.</w:t>
      </w:r>
    </w:p>
    <w:p w14:paraId="5762769C" w14:textId="77777777" w:rsidR="00B84C4C" w:rsidRDefault="00B84C4C" w:rsidP="002A3ABA">
      <w:pPr>
        <w:pStyle w:val="Flietext"/>
        <w:rPr>
          <w:highlight w:val="white"/>
        </w:rPr>
      </w:pPr>
      <w:r>
        <w:rPr>
          <w:b/>
          <w:highlight w:val="white"/>
        </w:rPr>
        <w:t>Evaluieren</w:t>
      </w:r>
      <w:r>
        <w:rPr>
          <w:highlight w:val="white"/>
        </w:rPr>
        <w:t>: Die digitalen Tafeln eignen sich hervorragend für Tagesevaluationen. Die Weitergabe des entsprechenden Links zur „Auswertungstafel“ reicht und jeder Teilnehmende kann individuell und zeitlich unabhängig die Tagesauswertung durchführen. Auf der Tafel können vorab auch Leitfragen hinterlegt werden, so dass eine zielgerichtete und angemessene Auswertung durchgeführt werden kann.</w:t>
      </w:r>
    </w:p>
    <w:p w14:paraId="776D23D2" w14:textId="77777777" w:rsidR="00B84C4C" w:rsidRDefault="00B84C4C" w:rsidP="002A3ABA">
      <w:pPr>
        <w:pStyle w:val="Flietext"/>
        <w:rPr>
          <w:highlight w:val="white"/>
        </w:rPr>
      </w:pPr>
      <w:r>
        <w:rPr>
          <w:b/>
          <w:highlight w:val="white"/>
        </w:rPr>
        <w:t xml:space="preserve">Partizipation ermöglichen: </w:t>
      </w:r>
      <w:r>
        <w:rPr>
          <w:highlight w:val="white"/>
        </w:rPr>
        <w:t xml:space="preserve">Über digitale Tafeln kann eine hohe Einbindung der Teilnehmer erreicht werden. Digitale Tafeln eröffnen einen leichten Einstieg in digitale und anonyme Diskussionen ähnlich einer </w:t>
      </w:r>
      <w:proofErr w:type="spellStart"/>
      <w:r>
        <w:rPr>
          <w:highlight w:val="white"/>
        </w:rPr>
        <w:t>Twitterwall</w:t>
      </w:r>
      <w:proofErr w:type="spellEnd"/>
      <w:r>
        <w:rPr>
          <w:highlight w:val="white"/>
        </w:rPr>
        <w:t>. Für Teilnehmende, die Schwierigkeiten haben vor Gruppen zu sprechen, aber ihre Gedanken trotzdem einbringen möchten, sind digitale Tafeln eine Möglichkeit zur Beteiligung.</w:t>
      </w:r>
    </w:p>
    <w:p w14:paraId="310437BC" w14:textId="77777777" w:rsidR="00B84C4C" w:rsidRDefault="00B84C4C" w:rsidP="002A3ABA">
      <w:pPr>
        <w:pStyle w:val="Flietext"/>
        <w:rPr>
          <w:highlight w:val="white"/>
        </w:rPr>
      </w:pPr>
      <w:r>
        <w:rPr>
          <w:b/>
          <w:highlight w:val="white"/>
        </w:rPr>
        <w:t>Öffnung des Seminarraums – externe Teilhabe ermöglichen und einfordern</w:t>
      </w:r>
      <w:r>
        <w:rPr>
          <w:highlight w:val="white"/>
        </w:rPr>
        <w:t xml:space="preserve">: Digitale Tafeln können in sozialen Netzwerken verbreitet werden. Über das „Teilen“ des Links können die spezifischen Ergebnisse der Welt außerhalb des Seminarraumes zugänglich gemacht werden. Dies ist bei </w:t>
      </w:r>
      <w:proofErr w:type="spellStart"/>
      <w:r>
        <w:rPr>
          <w:highlight w:val="white"/>
        </w:rPr>
        <w:t>Stormboard</w:t>
      </w:r>
      <w:proofErr w:type="spellEnd"/>
      <w:r>
        <w:rPr>
          <w:highlight w:val="white"/>
        </w:rPr>
        <w:t xml:space="preserve"> zu vernachlässigen, weil der Login immer vor die Teilnahme an den inhaltlichen Prozess geschaltet ist.</w:t>
      </w:r>
    </w:p>
    <w:p w14:paraId="09DAF84C" w14:textId="77777777" w:rsidR="00B84C4C" w:rsidRDefault="00B84C4C" w:rsidP="002A3ABA">
      <w:pPr>
        <w:pStyle w:val="Flietext"/>
        <w:rPr>
          <w:highlight w:val="white"/>
        </w:rPr>
      </w:pPr>
      <w:r>
        <w:rPr>
          <w:b/>
          <w:highlight w:val="white"/>
        </w:rPr>
        <w:t>Der digitale Seminarreader</w:t>
      </w:r>
      <w:r>
        <w:rPr>
          <w:highlight w:val="white"/>
        </w:rPr>
        <w:t>: Eine digitale Tafel kann die Funktion des Seminarreaders sehr einfach und praktisch übernehmen. Schließlich lassen sich alle relevanten Inhalte hier an einem zentralen Ort sammeln. Sei es, dass es Material der Seminarleitung ist oder die erstellten Materialien der Teilnehmenden aus dem Projekt heraus.</w:t>
      </w:r>
    </w:p>
    <w:p w14:paraId="30743CA6" w14:textId="77777777" w:rsidR="00B84C4C" w:rsidRDefault="00B84C4C" w:rsidP="002A3ABA">
      <w:pPr>
        <w:pStyle w:val="Flietext"/>
        <w:rPr>
          <w:highlight w:val="white"/>
        </w:rPr>
      </w:pPr>
      <w:r>
        <w:rPr>
          <w:b/>
          <w:highlight w:val="white"/>
        </w:rPr>
        <w:t>Kollaboration und Sharing</w:t>
      </w:r>
      <w:r>
        <w:rPr>
          <w:highlight w:val="white"/>
        </w:rPr>
        <w:t xml:space="preserve">: Die digitalen Tafeln eignen sich sehr gut zum </w:t>
      </w:r>
      <w:proofErr w:type="spellStart"/>
      <w:r>
        <w:rPr>
          <w:highlight w:val="white"/>
        </w:rPr>
        <w:t>kollaborativen</w:t>
      </w:r>
      <w:proofErr w:type="spellEnd"/>
      <w:r>
        <w:rPr>
          <w:highlight w:val="white"/>
        </w:rPr>
        <w:t xml:space="preserve"> Arbeiten. Die Tafel können unabhängig von Zeit und Ort, sofern ein Internetzugang vorhanden ist, bespielt werden.</w:t>
      </w:r>
    </w:p>
    <w:p w14:paraId="2F03A15C" w14:textId="77777777" w:rsidR="00B84C4C" w:rsidRDefault="00B84C4C" w:rsidP="002A3ABA">
      <w:pPr>
        <w:pStyle w:val="Flietext"/>
      </w:pPr>
      <w:r>
        <w:rPr>
          <w:b/>
          <w:highlight w:val="white"/>
        </w:rPr>
        <w:t>4. Schritt: Geschlossener Tafelraumraum vs. öffentlicher Wand</w:t>
      </w:r>
    </w:p>
    <w:p w14:paraId="39520BE2" w14:textId="2D9BC800" w:rsidR="00B84C4C" w:rsidRDefault="00B84C4C" w:rsidP="002A3ABA">
      <w:pPr>
        <w:pStyle w:val="Flietext"/>
      </w:pPr>
      <w:r>
        <w:rPr>
          <w:highlight w:val="white"/>
        </w:rPr>
        <w:t xml:space="preserve">Hier geht die Schere deutlich auseinander. Während </w:t>
      </w:r>
      <w:proofErr w:type="spellStart"/>
      <w:r>
        <w:rPr>
          <w:highlight w:val="white"/>
        </w:rPr>
        <w:t>Stormboard</w:t>
      </w:r>
      <w:proofErr w:type="spellEnd"/>
      <w:r>
        <w:rPr>
          <w:highlight w:val="white"/>
        </w:rPr>
        <w:t xml:space="preserve"> im Grunde einen </w:t>
      </w:r>
      <w:r w:rsidR="00827F83">
        <w:rPr>
          <w:highlight w:val="white"/>
        </w:rPr>
        <w:t>geschützten</w:t>
      </w:r>
      <w:r>
        <w:rPr>
          <w:highlight w:val="white"/>
        </w:rPr>
        <w:t xml:space="preserve"> Raum zur Verfügung stellt auf dem mehrere Personen an einer digitalen Tafel arbeiten können, eröffnet </w:t>
      </w:r>
      <w:proofErr w:type="spellStart"/>
      <w:r>
        <w:rPr>
          <w:highlight w:val="white"/>
        </w:rPr>
        <w:t>Padlet</w:t>
      </w:r>
      <w:proofErr w:type="spellEnd"/>
      <w:r>
        <w:rPr>
          <w:highlight w:val="white"/>
        </w:rPr>
        <w:t xml:space="preserve"> </w:t>
      </w:r>
      <w:r w:rsidR="00827F83">
        <w:rPr>
          <w:highlight w:val="white"/>
        </w:rPr>
        <w:t xml:space="preserve">eine ganz andere Dimension des </w:t>
      </w:r>
      <w:proofErr w:type="spellStart"/>
      <w:r w:rsidR="00827F83">
        <w:rPr>
          <w:highlight w:val="white"/>
        </w:rPr>
        <w:t>teilens</w:t>
      </w:r>
      <w:proofErr w:type="spellEnd"/>
      <w:r>
        <w:rPr>
          <w:highlight w:val="white"/>
        </w:rPr>
        <w:t xml:space="preserve">. Eine Wand von </w:t>
      </w:r>
      <w:proofErr w:type="spellStart"/>
      <w:r>
        <w:rPr>
          <w:highlight w:val="white"/>
        </w:rPr>
        <w:t>Padlet</w:t>
      </w:r>
      <w:proofErr w:type="spellEnd"/>
      <w:r>
        <w:rPr>
          <w:highlight w:val="white"/>
        </w:rPr>
        <w:t xml:space="preserve"> kann in den verschiedensten sozialen Netzwerken geteilt werden, es gibt mehrere Exportversionen (z.B. Image, PDF, Excel), </w:t>
      </w:r>
      <w:proofErr w:type="spellStart"/>
      <w:r>
        <w:rPr>
          <w:highlight w:val="white"/>
        </w:rPr>
        <w:t>Embed</w:t>
      </w:r>
      <w:proofErr w:type="spellEnd"/>
      <w:r>
        <w:rPr>
          <w:highlight w:val="white"/>
        </w:rPr>
        <w:t xml:space="preserve">-Codes werden angeboten ebenso wie ein fertiger QR-Code. </w:t>
      </w:r>
      <w:proofErr w:type="spellStart"/>
      <w:r>
        <w:rPr>
          <w:highlight w:val="white"/>
        </w:rPr>
        <w:t>Padlets</w:t>
      </w:r>
      <w:proofErr w:type="spellEnd"/>
      <w:r>
        <w:rPr>
          <w:highlight w:val="white"/>
        </w:rPr>
        <w:t xml:space="preserve"> können zusätzlich mit einem Passwort vom Administrator gesichert werden. Für jeden Lehrenden, die/der sich mit </w:t>
      </w:r>
      <w:r>
        <w:rPr>
          <w:highlight w:val="white"/>
        </w:rPr>
        <w:lastRenderedPageBreak/>
        <w:t xml:space="preserve">Datenschutz auseinandersetzen muss, ist es ein großer Vorteil, wenn nur diejenigen auf die Tafel zugreifen können, die das Passwort vorher bekommen haben. Ein Storm bleibt ein geschlossener „Tafelraum“, mit dem Ziel, mit einer klar definierten </w:t>
      </w:r>
      <w:r w:rsidR="00827F83">
        <w:rPr>
          <w:highlight w:val="white"/>
        </w:rPr>
        <w:t>Gruppe</w:t>
      </w:r>
      <w:r>
        <w:rPr>
          <w:highlight w:val="white"/>
        </w:rPr>
        <w:t xml:space="preserve"> von Personen </w:t>
      </w:r>
      <w:proofErr w:type="spellStart"/>
      <w:r>
        <w:rPr>
          <w:highlight w:val="white"/>
        </w:rPr>
        <w:t>kollaborativ</w:t>
      </w:r>
      <w:proofErr w:type="spellEnd"/>
      <w:r>
        <w:rPr>
          <w:highlight w:val="white"/>
        </w:rPr>
        <w:t xml:space="preserve"> an einer Wand zu arbeiten, ohne weitere Zuschauer.</w:t>
      </w:r>
    </w:p>
    <w:p w14:paraId="1B9E9F31" w14:textId="77777777" w:rsidR="00B84C4C" w:rsidRDefault="00B84C4C" w:rsidP="002A3ABA">
      <w:pPr>
        <w:pStyle w:val="Flietext"/>
      </w:pPr>
    </w:p>
    <w:p w14:paraId="2F4DD638" w14:textId="77777777" w:rsidR="00B84C4C" w:rsidRPr="00827F83" w:rsidRDefault="00B84C4C" w:rsidP="002A3ABA">
      <w:pPr>
        <w:pStyle w:val="Flietext"/>
        <w:rPr>
          <w:i/>
        </w:rPr>
      </w:pPr>
      <w:r w:rsidRPr="00827F83">
        <w:rPr>
          <w:i/>
          <w:highlight w:val="white"/>
        </w:rPr>
        <w:t xml:space="preserve">CC BY SA 3.0 </w:t>
      </w:r>
      <w:proofErr w:type="spellStart"/>
      <w:r w:rsidRPr="00827F83">
        <w:rPr>
          <w:i/>
          <w:highlight w:val="white"/>
        </w:rPr>
        <w:t>by</w:t>
      </w:r>
      <w:proofErr w:type="spellEnd"/>
      <w:r w:rsidRPr="00827F83">
        <w:rPr>
          <w:i/>
          <w:highlight w:val="white"/>
        </w:rPr>
        <w:t xml:space="preserve"> </w:t>
      </w:r>
      <w:r w:rsidRPr="00827F83">
        <w:rPr>
          <w:b/>
          <w:i/>
          <w:highlight w:val="white"/>
        </w:rPr>
        <w:t>Karsten Lucke</w:t>
      </w:r>
      <w:r w:rsidRPr="00827F83">
        <w:rPr>
          <w:i/>
          <w:highlight w:val="white"/>
        </w:rPr>
        <w:t xml:space="preserve"> und </w:t>
      </w:r>
      <w:r w:rsidRPr="00827F83">
        <w:rPr>
          <w:b/>
          <w:i/>
          <w:highlight w:val="white"/>
        </w:rPr>
        <w:t xml:space="preserve">Anselm </w:t>
      </w:r>
      <w:proofErr w:type="spellStart"/>
      <w:r w:rsidRPr="00827F83">
        <w:rPr>
          <w:b/>
          <w:i/>
          <w:highlight w:val="white"/>
        </w:rPr>
        <w:t>Sellen</w:t>
      </w:r>
      <w:proofErr w:type="spellEnd"/>
      <w:r w:rsidRPr="00827F83">
        <w:rPr>
          <w:i/>
          <w:highlight w:val="white"/>
        </w:rPr>
        <w:t xml:space="preserve"> für </w:t>
      </w:r>
      <w:proofErr w:type="spellStart"/>
      <w:r w:rsidRPr="00827F83">
        <w:rPr>
          <w:i/>
          <w:highlight w:val="white"/>
        </w:rPr>
        <w:t>wb</w:t>
      </w:r>
      <w:proofErr w:type="spellEnd"/>
      <w:r w:rsidRPr="00827F83">
        <w:rPr>
          <w:i/>
          <w:highlight w:val="white"/>
        </w:rPr>
        <w:t>-web</w:t>
      </w:r>
    </w:p>
    <w:p w14:paraId="794A232A" w14:textId="3D077DED" w:rsidR="00117B7E" w:rsidRPr="00B84C4C" w:rsidRDefault="00117B7E" w:rsidP="002A3ABA">
      <w:pPr>
        <w:pStyle w:val="Flietext"/>
      </w:pPr>
    </w:p>
    <w:sectPr w:rsidR="00117B7E" w:rsidRPr="00B84C4C" w:rsidSect="00FD3A72">
      <w:headerReference w:type="default" r:id="rId12"/>
      <w:footerReference w:type="default" r:id="rId13"/>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E9A17" w14:textId="77777777" w:rsidR="00A4330F" w:rsidRDefault="00A4330F" w:rsidP="00014AE4">
      <w:pPr>
        <w:spacing w:after="0" w:line="240" w:lineRule="auto"/>
      </w:pPr>
      <w:r>
        <w:separator/>
      </w:r>
    </w:p>
  </w:endnote>
  <w:endnote w:type="continuationSeparator" w:id="0">
    <w:p w14:paraId="3BD28D30" w14:textId="77777777" w:rsidR="00A4330F" w:rsidRDefault="00A4330F"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DINPro">
    <w:altName w:val="Segoe Script"/>
    <w:panose1 w:val="00000000000000000000"/>
    <w:charset w:val="00"/>
    <w:family w:val="swiss"/>
    <w:notTrueType/>
    <w:pitch w:val="variable"/>
    <w:sig w:usb0="00000001" w:usb1="4000207B" w:usb2="00000008"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86557" w14:textId="77777777" w:rsidR="00A4330F" w:rsidRDefault="00A4330F" w:rsidP="00DB4FF9">
    <w:pPr>
      <w:autoSpaceDE w:val="0"/>
      <w:autoSpaceDN w:val="0"/>
      <w:adjustRightInd w:val="0"/>
      <w:spacing w:after="0" w:line="240" w:lineRule="auto"/>
      <w:rPr>
        <w:rFonts w:ascii="DINPro" w:hAnsi="DINPro" w:cs="DINPro"/>
        <w:color w:val="333333"/>
        <w:sz w:val="16"/>
        <w:szCs w:val="16"/>
      </w:rPr>
    </w:pPr>
    <w:r w:rsidRPr="008F665E">
      <w:rPr>
        <w:noProof/>
        <w:bdr w:val="none" w:sz="0" w:space="0" w:color="auto"/>
      </w:rPr>
      <w:drawing>
        <wp:anchor distT="0" distB="0" distL="114300" distR="114300" simplePos="0" relativeHeight="251666432" behindDoc="0" locked="0" layoutInCell="1" allowOverlap="1" wp14:anchorId="757AEA7E" wp14:editId="0782D046">
          <wp:simplePos x="0" y="0"/>
          <wp:positionH relativeFrom="margin">
            <wp:align>left</wp:align>
          </wp:positionH>
          <wp:positionV relativeFrom="margin">
            <wp:posOffset>7894955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anchor>
      </w:drawing>
    </w:r>
  </w:p>
  <w:p w14:paraId="60C47905" w14:textId="77777777" w:rsidR="00A4330F" w:rsidRDefault="00A4330F" w:rsidP="00DB4FF9">
    <w:pPr>
      <w:autoSpaceDE w:val="0"/>
      <w:autoSpaceDN w:val="0"/>
      <w:adjustRightInd w:val="0"/>
      <w:spacing w:after="0" w:line="240" w:lineRule="auto"/>
      <w:rPr>
        <w:rFonts w:ascii="DINPro" w:hAnsi="DINPro" w:cs="DINPro"/>
        <w:color w:val="333333"/>
        <w:sz w:val="16"/>
        <w:szCs w:val="16"/>
      </w:rPr>
    </w:pPr>
  </w:p>
  <w:p w14:paraId="6C639A6B" w14:textId="77777777" w:rsidR="00A4330F" w:rsidRDefault="00A4330F" w:rsidP="00DB4FF9">
    <w:pPr>
      <w:autoSpaceDE w:val="0"/>
      <w:autoSpaceDN w:val="0"/>
      <w:adjustRightInd w:val="0"/>
      <w:spacing w:after="0" w:line="240" w:lineRule="auto"/>
      <w:rPr>
        <w:rFonts w:ascii="DINPro" w:hAnsi="DINPro" w:cs="DINPro"/>
        <w:color w:val="333333"/>
        <w:sz w:val="16"/>
        <w:szCs w:val="16"/>
      </w:rPr>
    </w:pPr>
  </w:p>
  <w:p w14:paraId="4427E066" w14:textId="77777777" w:rsidR="00A4330F" w:rsidRPr="00DB4FF9" w:rsidRDefault="00A4330F" w:rsidP="00DB4FF9">
    <w:pPr>
      <w:autoSpaceDE w:val="0"/>
      <w:autoSpaceDN w:val="0"/>
      <w:adjustRightInd w:val="0"/>
      <w:spacing w:after="0" w:line="240" w:lineRule="auto"/>
      <w:rPr>
        <w:rFonts w:ascii="Arial" w:hAnsi="Arial" w:cs="Arial"/>
        <w:color w:val="333333"/>
        <w:sz w:val="16"/>
        <w:szCs w:val="16"/>
      </w:rPr>
    </w:pPr>
    <w:r w:rsidRPr="00957FD7">
      <w:rPr>
        <w:rFonts w:ascii="Arial" w:hAnsi="Arial" w:cs="Arial"/>
        <w:color w:val="333333"/>
        <w:sz w:val="16"/>
        <w:szCs w:val="16"/>
      </w:rPr>
      <w:t>Dieses Material steht unter der Creativ</w:t>
    </w:r>
    <w:r>
      <w:rPr>
        <w:rFonts w:ascii="Arial" w:hAnsi="Arial" w:cs="Arial"/>
        <w:color w:val="333333"/>
        <w:sz w:val="16"/>
        <w:szCs w:val="16"/>
      </w:rPr>
      <w:t>e-</w:t>
    </w:r>
    <w:proofErr w:type="spellStart"/>
    <w:r>
      <w:rPr>
        <w:rFonts w:ascii="Arial" w:hAnsi="Arial" w:cs="Arial"/>
        <w:color w:val="333333"/>
        <w:sz w:val="16"/>
        <w:szCs w:val="16"/>
      </w:rPr>
      <w:t>Commons</w:t>
    </w:r>
    <w:proofErr w:type="spellEnd"/>
    <w:r>
      <w:rPr>
        <w:rFonts w:ascii="Arial" w:hAnsi="Arial" w:cs="Arial"/>
        <w:color w:val="333333"/>
        <w:sz w:val="16"/>
        <w:szCs w:val="16"/>
      </w:rPr>
      <w:t xml:space="preserve">-Lizenz Namensnennung – </w:t>
    </w:r>
    <w:r w:rsidRPr="00957FD7">
      <w:rPr>
        <w:rFonts w:ascii="Arial" w:hAnsi="Arial" w:cs="Arial"/>
        <w:color w:val="333333"/>
        <w:sz w:val="16"/>
        <w:szCs w:val="16"/>
      </w:rPr>
      <w:t xml:space="preserve">Weitergabe unter gleichen Bedingungen 3.0 </w:t>
    </w:r>
    <w:proofErr w:type="spellStart"/>
    <w:r w:rsidRPr="00957FD7">
      <w:rPr>
        <w:rFonts w:ascii="Arial" w:hAnsi="Arial" w:cs="Arial"/>
        <w:color w:val="333333"/>
        <w:sz w:val="16"/>
        <w:szCs w:val="16"/>
      </w:rPr>
      <w:t>Unported</w:t>
    </w:r>
    <w:proofErr w:type="spellEnd"/>
    <w:r w:rsidRPr="00957FD7">
      <w:rPr>
        <w:rFonts w:ascii="Arial" w:hAnsi="Arial" w:cs="Arial"/>
        <w:color w:val="333333"/>
        <w:sz w:val="16"/>
        <w:szCs w:val="16"/>
      </w:rPr>
      <w:t>. Um eine Kopie dieser Lizenz zu sehen, besuchen Sie http://creativecommons.org/licenses/by-sa/3.0/.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2FBCB" w14:textId="77777777" w:rsidR="00A4330F" w:rsidRDefault="00A4330F" w:rsidP="00014AE4">
      <w:pPr>
        <w:spacing w:after="0" w:line="240" w:lineRule="auto"/>
      </w:pPr>
      <w:r>
        <w:separator/>
      </w:r>
    </w:p>
  </w:footnote>
  <w:footnote w:type="continuationSeparator" w:id="0">
    <w:p w14:paraId="0473FCFD" w14:textId="77777777" w:rsidR="00A4330F" w:rsidRDefault="00A4330F" w:rsidP="00014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76BCC" w14:textId="77777777" w:rsidR="00A4330F" w:rsidRDefault="00A4330F">
    <w:pPr>
      <w:pStyle w:val="Kopfzeile"/>
    </w:pPr>
    <w:r>
      <w:rPr>
        <w:noProof/>
        <w:lang w:eastAsia="de-DE"/>
      </w:rPr>
      <w:drawing>
        <wp:anchor distT="0" distB="0" distL="114300" distR="114300" simplePos="0" relativeHeight="251664384" behindDoc="1" locked="0" layoutInCell="1" allowOverlap="1" wp14:anchorId="13EBDCAE" wp14:editId="5A7DBF0C">
          <wp:simplePos x="0" y="0"/>
          <wp:positionH relativeFrom="page">
            <wp:align>left</wp:align>
          </wp:positionH>
          <wp:positionV relativeFrom="paragraph">
            <wp:posOffset>-442595</wp:posOffset>
          </wp:positionV>
          <wp:extent cx="7562215" cy="609600"/>
          <wp:effectExtent l="0" t="0" r="63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imes New Roman" w:hAnsi="Arial" w:cs="Times New Roman"/>
        <w:noProof/>
        <w:color w:val="333333"/>
        <w:lang w:eastAsia="de-DE"/>
      </w:rPr>
      <mc:AlternateContent>
        <mc:Choice Requires="wps">
          <w:drawing>
            <wp:anchor distT="45720" distB="45720" distL="114300" distR="114300" simplePos="0" relativeHeight="251661312" behindDoc="0" locked="0" layoutInCell="1" allowOverlap="1" wp14:anchorId="25172646" wp14:editId="04240906">
              <wp:simplePos x="0" y="0"/>
              <wp:positionH relativeFrom="rightMargin">
                <wp:posOffset>6350</wp:posOffset>
              </wp:positionH>
              <wp:positionV relativeFrom="paragraph">
                <wp:posOffset>215900</wp:posOffset>
              </wp:positionV>
              <wp:extent cx="771525" cy="36957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9570"/>
                      </a:xfrm>
                      <a:prstGeom prst="rect">
                        <a:avLst/>
                      </a:prstGeom>
                      <a:solidFill>
                        <a:srgbClr val="FFFFFF"/>
                      </a:solidFill>
                      <a:ln w="9525">
                        <a:noFill/>
                        <a:miter lim="800000"/>
                        <a:headEnd/>
                        <a:tailEnd/>
                      </a:ln>
                    </wps:spPr>
                    <wps:txbx>
                      <w:txbxContent>
                        <w:p w14:paraId="407CC181" w14:textId="77777777" w:rsidR="00A4330F" w:rsidRPr="00AC2223" w:rsidRDefault="00A4330F" w:rsidP="00C93D17">
                          <w:pPr>
                            <w:jc w:val="right"/>
                            <w:rPr>
                              <w:rFonts w:ascii="Arial" w:hAnsi="Arial" w:cs="Arial"/>
                              <w:i/>
                              <w:sz w:val="18"/>
                              <w:szCs w:val="18"/>
                            </w:rPr>
                          </w:pPr>
                          <w:r w:rsidRPr="00AC2223">
                            <w:rPr>
                              <w:rFonts w:ascii="Arial" w:hAnsi="Arial" w:cs="Arial"/>
                              <w:i/>
                              <w:sz w:val="18"/>
                              <w:szCs w:val="18"/>
                            </w:rPr>
                            <w:t>wb-web.de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172646" id="_x0000_t202" coordsize="21600,21600" o:spt="202" path="m,l,21600r21600,l21600,xe">
              <v:stroke joinstyle="miter"/>
              <v:path gradientshapeok="t" o:connecttype="rect"/>
            </v:shapetype>
            <v:shape id="Textfeld 2" o:spid="_x0000_s1026" type="#_x0000_t202" style="position:absolute;margin-left:.5pt;margin-top:17pt;width:60.75pt;height:29.1pt;z-index:251661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" stroked="f">
              <v:textbox style="mso-fit-shape-to-text:t">
                <w:txbxContent>
                  <w:p w14:paraId="407CC181" w14:textId="77777777" w:rsidR="00A4330F" w:rsidRPr="00AC2223" w:rsidRDefault="00A4330F" w:rsidP="00C93D17">
                    <w:pPr>
                      <w:jc w:val="right"/>
                      <w:rPr>
                        <w:rFonts w:ascii="Arial" w:hAnsi="Arial" w:cs="Arial"/>
                        <w:i/>
                        <w:sz w:val="18"/>
                        <w:szCs w:val="18"/>
                      </w:rPr>
                    </w:pPr>
                    <w:r w:rsidRPr="00AC2223">
                      <w:rPr>
                        <w:rFonts w:ascii="Arial" w:hAnsi="Arial" w:cs="Arial"/>
                        <w:i/>
                        <w:sz w:val="18"/>
                        <w:szCs w:val="18"/>
                      </w:rPr>
                      <w:t>wb-web.de</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1137"/>
    <w:multiLevelType w:val="hybridMultilevel"/>
    <w:tmpl w:val="73C6DE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B8668A"/>
    <w:multiLevelType w:val="multilevel"/>
    <w:tmpl w:val="F69EA3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A82501B"/>
    <w:multiLevelType w:val="multilevel"/>
    <w:tmpl w:val="B516C4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E904C5"/>
    <w:multiLevelType w:val="hybridMultilevel"/>
    <w:tmpl w:val="5C5216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E344541"/>
    <w:multiLevelType w:val="multilevel"/>
    <w:tmpl w:val="3864A4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1AE183A"/>
    <w:multiLevelType w:val="multilevel"/>
    <w:tmpl w:val="2940EB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A290179"/>
    <w:multiLevelType w:val="multilevel"/>
    <w:tmpl w:val="6812EA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7076F8"/>
    <w:multiLevelType w:val="hybridMultilevel"/>
    <w:tmpl w:val="1BC47168"/>
    <w:lvl w:ilvl="0" w:tplc="5D8A0AF8">
      <w:start w:val="1"/>
      <w:numFmt w:val="bullet"/>
      <w:pStyle w:val="Einzug1"/>
      <w:lvlText w:val=""/>
      <w:lvlJc w:val="left"/>
      <w:pPr>
        <w:tabs>
          <w:tab w:val="num" w:pos="927"/>
        </w:tabs>
        <w:ind w:left="927"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3F35C9"/>
    <w:multiLevelType w:val="multilevel"/>
    <w:tmpl w:val="57F4C7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507010E8"/>
    <w:multiLevelType w:val="hybridMultilevel"/>
    <w:tmpl w:val="7DD2832A"/>
    <w:lvl w:ilvl="0" w:tplc="DD00ED2E">
      <w:start w:val="1"/>
      <w:numFmt w:val="bullet"/>
      <w:pStyle w:val="Einzug2"/>
      <w:lvlText w:val=""/>
      <w:lvlJc w:val="left"/>
      <w:pPr>
        <w:ind w:left="2138" w:hanging="360"/>
      </w:pPr>
      <w:rPr>
        <w:rFonts w:ascii="Wingdings" w:hAnsi="Wingdings" w:hint="default"/>
      </w:rPr>
    </w:lvl>
    <w:lvl w:ilvl="1" w:tplc="04070003">
      <w:start w:val="1"/>
      <w:numFmt w:val="bullet"/>
      <w:lvlText w:val="o"/>
      <w:lvlJc w:val="left"/>
      <w:pPr>
        <w:ind w:left="2007" w:hanging="360"/>
      </w:pPr>
      <w:rPr>
        <w:rFonts w:ascii="Courier New" w:hAnsi="Courier New" w:cs="Times New Roman" w:hint="default"/>
      </w:rPr>
    </w:lvl>
    <w:lvl w:ilvl="2" w:tplc="04070005">
      <w:start w:val="1"/>
      <w:numFmt w:val="bullet"/>
      <w:lvlText w:val=""/>
      <w:lvlJc w:val="left"/>
      <w:pPr>
        <w:ind w:left="2727" w:hanging="360"/>
      </w:pPr>
      <w:rPr>
        <w:rFonts w:ascii="Wingdings" w:hAnsi="Wingdings" w:hint="default"/>
      </w:rPr>
    </w:lvl>
    <w:lvl w:ilvl="3" w:tplc="04070001">
      <w:start w:val="1"/>
      <w:numFmt w:val="bullet"/>
      <w:lvlText w:val=""/>
      <w:lvlJc w:val="left"/>
      <w:pPr>
        <w:ind w:left="3447" w:hanging="360"/>
      </w:pPr>
      <w:rPr>
        <w:rFonts w:ascii="Symbol" w:hAnsi="Symbol" w:hint="default"/>
      </w:rPr>
    </w:lvl>
    <w:lvl w:ilvl="4" w:tplc="04070003">
      <w:start w:val="1"/>
      <w:numFmt w:val="bullet"/>
      <w:lvlText w:val="o"/>
      <w:lvlJc w:val="left"/>
      <w:pPr>
        <w:ind w:left="4167" w:hanging="360"/>
      </w:pPr>
      <w:rPr>
        <w:rFonts w:ascii="Courier New" w:hAnsi="Courier New" w:cs="Times New Roman" w:hint="default"/>
      </w:rPr>
    </w:lvl>
    <w:lvl w:ilvl="5" w:tplc="04070005">
      <w:start w:val="1"/>
      <w:numFmt w:val="bullet"/>
      <w:lvlText w:val=""/>
      <w:lvlJc w:val="left"/>
      <w:pPr>
        <w:ind w:left="4887" w:hanging="360"/>
      </w:pPr>
      <w:rPr>
        <w:rFonts w:ascii="Wingdings" w:hAnsi="Wingdings" w:hint="default"/>
      </w:rPr>
    </w:lvl>
    <w:lvl w:ilvl="6" w:tplc="04070001">
      <w:start w:val="1"/>
      <w:numFmt w:val="bullet"/>
      <w:lvlText w:val=""/>
      <w:lvlJc w:val="left"/>
      <w:pPr>
        <w:ind w:left="5607" w:hanging="360"/>
      </w:pPr>
      <w:rPr>
        <w:rFonts w:ascii="Symbol" w:hAnsi="Symbol" w:hint="default"/>
      </w:rPr>
    </w:lvl>
    <w:lvl w:ilvl="7" w:tplc="04070003">
      <w:start w:val="1"/>
      <w:numFmt w:val="bullet"/>
      <w:lvlText w:val="o"/>
      <w:lvlJc w:val="left"/>
      <w:pPr>
        <w:ind w:left="6327" w:hanging="360"/>
      </w:pPr>
      <w:rPr>
        <w:rFonts w:ascii="Courier New" w:hAnsi="Courier New" w:cs="Times New Roman" w:hint="default"/>
      </w:rPr>
    </w:lvl>
    <w:lvl w:ilvl="8" w:tplc="04070005">
      <w:start w:val="1"/>
      <w:numFmt w:val="bullet"/>
      <w:lvlText w:val=""/>
      <w:lvlJc w:val="left"/>
      <w:pPr>
        <w:ind w:left="7047" w:hanging="360"/>
      </w:pPr>
      <w:rPr>
        <w:rFonts w:ascii="Wingdings" w:hAnsi="Wingdings" w:hint="default"/>
      </w:rPr>
    </w:lvl>
  </w:abstractNum>
  <w:abstractNum w:abstractNumId="12" w15:restartNumberingAfterBreak="0">
    <w:nsid w:val="627F61C2"/>
    <w:multiLevelType w:val="multilevel"/>
    <w:tmpl w:val="17A448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76450FED"/>
    <w:multiLevelType w:val="hybridMultilevel"/>
    <w:tmpl w:val="851E4482"/>
    <w:lvl w:ilvl="0" w:tplc="75802ADC">
      <w:start w:val="1"/>
      <w:numFmt w:val="bullet"/>
      <w:pStyle w:val="Einzug3"/>
      <w:lvlText w:val=""/>
      <w:lvlJc w:val="left"/>
      <w:pPr>
        <w:tabs>
          <w:tab w:val="num" w:pos="1757"/>
        </w:tabs>
        <w:ind w:left="1757" w:hanging="453"/>
      </w:pPr>
      <w:rPr>
        <w:rFonts w:ascii="Symbol" w:hAnsi="Symbol" w:hint="default"/>
        <w:color w:val="auto"/>
      </w:rPr>
    </w:lvl>
    <w:lvl w:ilvl="1" w:tplc="04070003">
      <w:start w:val="1"/>
      <w:numFmt w:val="bullet"/>
      <w:lvlText w:val="o"/>
      <w:lvlJc w:val="left"/>
      <w:pPr>
        <w:tabs>
          <w:tab w:val="num" w:pos="2291"/>
        </w:tabs>
        <w:ind w:left="2291" w:hanging="360"/>
      </w:pPr>
      <w:rPr>
        <w:rFonts w:ascii="Courier New" w:hAnsi="Courier New" w:cs="Courier New" w:hint="default"/>
      </w:rPr>
    </w:lvl>
    <w:lvl w:ilvl="2" w:tplc="04070005">
      <w:start w:val="1"/>
      <w:numFmt w:val="bullet"/>
      <w:lvlText w:val=""/>
      <w:lvlJc w:val="left"/>
      <w:pPr>
        <w:tabs>
          <w:tab w:val="num" w:pos="3011"/>
        </w:tabs>
        <w:ind w:left="3011" w:hanging="360"/>
      </w:pPr>
      <w:rPr>
        <w:rFonts w:ascii="Wingdings" w:hAnsi="Wingdings" w:hint="default"/>
      </w:rPr>
    </w:lvl>
    <w:lvl w:ilvl="3" w:tplc="04070001">
      <w:start w:val="1"/>
      <w:numFmt w:val="bullet"/>
      <w:lvlText w:val=""/>
      <w:lvlJc w:val="left"/>
      <w:pPr>
        <w:tabs>
          <w:tab w:val="num" w:pos="3731"/>
        </w:tabs>
        <w:ind w:left="3731" w:hanging="360"/>
      </w:pPr>
      <w:rPr>
        <w:rFonts w:ascii="Symbol" w:hAnsi="Symbol" w:hint="default"/>
      </w:rPr>
    </w:lvl>
    <w:lvl w:ilvl="4" w:tplc="04070003">
      <w:start w:val="1"/>
      <w:numFmt w:val="bullet"/>
      <w:lvlText w:val="o"/>
      <w:lvlJc w:val="left"/>
      <w:pPr>
        <w:tabs>
          <w:tab w:val="num" w:pos="4451"/>
        </w:tabs>
        <w:ind w:left="4451" w:hanging="360"/>
      </w:pPr>
      <w:rPr>
        <w:rFonts w:ascii="Courier New" w:hAnsi="Courier New" w:cs="Courier New" w:hint="default"/>
      </w:rPr>
    </w:lvl>
    <w:lvl w:ilvl="5" w:tplc="04070005">
      <w:start w:val="1"/>
      <w:numFmt w:val="bullet"/>
      <w:lvlText w:val=""/>
      <w:lvlJc w:val="left"/>
      <w:pPr>
        <w:tabs>
          <w:tab w:val="num" w:pos="5171"/>
        </w:tabs>
        <w:ind w:left="5171" w:hanging="360"/>
      </w:pPr>
      <w:rPr>
        <w:rFonts w:ascii="Wingdings" w:hAnsi="Wingdings" w:hint="default"/>
      </w:rPr>
    </w:lvl>
    <w:lvl w:ilvl="6" w:tplc="04070001">
      <w:start w:val="1"/>
      <w:numFmt w:val="bullet"/>
      <w:lvlText w:val=""/>
      <w:lvlJc w:val="left"/>
      <w:pPr>
        <w:tabs>
          <w:tab w:val="num" w:pos="5891"/>
        </w:tabs>
        <w:ind w:left="5891" w:hanging="360"/>
      </w:pPr>
      <w:rPr>
        <w:rFonts w:ascii="Symbol" w:hAnsi="Symbol" w:hint="default"/>
      </w:rPr>
    </w:lvl>
    <w:lvl w:ilvl="7" w:tplc="04070003">
      <w:start w:val="1"/>
      <w:numFmt w:val="bullet"/>
      <w:lvlText w:val="o"/>
      <w:lvlJc w:val="left"/>
      <w:pPr>
        <w:tabs>
          <w:tab w:val="num" w:pos="6611"/>
        </w:tabs>
        <w:ind w:left="6611" w:hanging="360"/>
      </w:pPr>
      <w:rPr>
        <w:rFonts w:ascii="Courier New" w:hAnsi="Courier New" w:cs="Courier New" w:hint="default"/>
      </w:rPr>
    </w:lvl>
    <w:lvl w:ilvl="8" w:tplc="04070005">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7A293C0E"/>
    <w:multiLevelType w:val="multilevel"/>
    <w:tmpl w:val="629084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8"/>
  </w:num>
  <w:num w:numId="3">
    <w:abstractNumId w:val="9"/>
  </w:num>
  <w:num w:numId="4">
    <w:abstractNumId w:val="11"/>
  </w:num>
  <w:num w:numId="5">
    <w:abstractNumId w:val="13"/>
  </w:num>
  <w:num w:numId="6">
    <w:abstractNumId w:val="12"/>
  </w:num>
  <w:num w:numId="7">
    <w:abstractNumId w:val="1"/>
  </w:num>
  <w:num w:numId="8">
    <w:abstractNumId w:val="5"/>
  </w:num>
  <w:num w:numId="9">
    <w:abstractNumId w:val="10"/>
  </w:num>
  <w:num w:numId="10">
    <w:abstractNumId w:val="6"/>
  </w:num>
  <w:num w:numId="11">
    <w:abstractNumId w:val="7"/>
  </w:num>
  <w:num w:numId="12">
    <w:abstractNumId w:val="0"/>
  </w:num>
  <w:num w:numId="13">
    <w:abstractNumId w:val="14"/>
  </w:num>
  <w:num w:numId="14">
    <w:abstractNumId w:val="4"/>
  </w:num>
  <w:num w:numId="1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57"/>
    <w:rsid w:val="00014AE4"/>
    <w:rsid w:val="000229A0"/>
    <w:rsid w:val="000233EC"/>
    <w:rsid w:val="0006743A"/>
    <w:rsid w:val="0007007A"/>
    <w:rsid w:val="000A3819"/>
    <w:rsid w:val="000A44F1"/>
    <w:rsid w:val="000B3837"/>
    <w:rsid w:val="000C6BAB"/>
    <w:rsid w:val="000D0BA2"/>
    <w:rsid w:val="000E4BEB"/>
    <w:rsid w:val="000E5A0E"/>
    <w:rsid w:val="00102A40"/>
    <w:rsid w:val="00103560"/>
    <w:rsid w:val="00112F7A"/>
    <w:rsid w:val="00114319"/>
    <w:rsid w:val="00117B7E"/>
    <w:rsid w:val="001363B0"/>
    <w:rsid w:val="0017476E"/>
    <w:rsid w:val="0018000C"/>
    <w:rsid w:val="001808FF"/>
    <w:rsid w:val="00197EF0"/>
    <w:rsid w:val="001A5478"/>
    <w:rsid w:val="001F0AA2"/>
    <w:rsid w:val="00206FAA"/>
    <w:rsid w:val="0022296F"/>
    <w:rsid w:val="0023684F"/>
    <w:rsid w:val="00246EDD"/>
    <w:rsid w:val="00247D07"/>
    <w:rsid w:val="00276D57"/>
    <w:rsid w:val="002A3ABA"/>
    <w:rsid w:val="002E6C9E"/>
    <w:rsid w:val="002F48DB"/>
    <w:rsid w:val="002F63BB"/>
    <w:rsid w:val="00321C43"/>
    <w:rsid w:val="00333725"/>
    <w:rsid w:val="003413A8"/>
    <w:rsid w:val="003450C0"/>
    <w:rsid w:val="003451AE"/>
    <w:rsid w:val="003734E0"/>
    <w:rsid w:val="00390ED2"/>
    <w:rsid w:val="003A5A15"/>
    <w:rsid w:val="003B184F"/>
    <w:rsid w:val="0040168F"/>
    <w:rsid w:val="0043342C"/>
    <w:rsid w:val="0045161A"/>
    <w:rsid w:val="00467A51"/>
    <w:rsid w:val="0048036C"/>
    <w:rsid w:val="004A33CC"/>
    <w:rsid w:val="00506977"/>
    <w:rsid w:val="0051075D"/>
    <w:rsid w:val="00527C57"/>
    <w:rsid w:val="00567190"/>
    <w:rsid w:val="00574BEB"/>
    <w:rsid w:val="005956F4"/>
    <w:rsid w:val="005B2946"/>
    <w:rsid w:val="005C0361"/>
    <w:rsid w:val="005C468F"/>
    <w:rsid w:val="005E0C49"/>
    <w:rsid w:val="005F3AE5"/>
    <w:rsid w:val="006027BA"/>
    <w:rsid w:val="0061648F"/>
    <w:rsid w:val="00621195"/>
    <w:rsid w:val="006246A2"/>
    <w:rsid w:val="00635D7A"/>
    <w:rsid w:val="0067451F"/>
    <w:rsid w:val="00682425"/>
    <w:rsid w:val="006850D8"/>
    <w:rsid w:val="006D50F6"/>
    <w:rsid w:val="006D5D2F"/>
    <w:rsid w:val="006E382D"/>
    <w:rsid w:val="00723B4B"/>
    <w:rsid w:val="00725A57"/>
    <w:rsid w:val="00745EE5"/>
    <w:rsid w:val="0074684B"/>
    <w:rsid w:val="007929A6"/>
    <w:rsid w:val="0079307C"/>
    <w:rsid w:val="007930AE"/>
    <w:rsid w:val="00827F83"/>
    <w:rsid w:val="00862F3E"/>
    <w:rsid w:val="00883AC6"/>
    <w:rsid w:val="008C1D48"/>
    <w:rsid w:val="00913C77"/>
    <w:rsid w:val="00921042"/>
    <w:rsid w:val="0095483E"/>
    <w:rsid w:val="00966B92"/>
    <w:rsid w:val="009873C8"/>
    <w:rsid w:val="00993E08"/>
    <w:rsid w:val="009A24C4"/>
    <w:rsid w:val="009B4579"/>
    <w:rsid w:val="009D1E3F"/>
    <w:rsid w:val="009E6E89"/>
    <w:rsid w:val="00A12980"/>
    <w:rsid w:val="00A13616"/>
    <w:rsid w:val="00A25CE6"/>
    <w:rsid w:val="00A4330F"/>
    <w:rsid w:val="00A651A5"/>
    <w:rsid w:val="00A7652F"/>
    <w:rsid w:val="00A955D3"/>
    <w:rsid w:val="00AC2223"/>
    <w:rsid w:val="00AD7F51"/>
    <w:rsid w:val="00AE2D8B"/>
    <w:rsid w:val="00B01655"/>
    <w:rsid w:val="00B11ED0"/>
    <w:rsid w:val="00B209CA"/>
    <w:rsid w:val="00B26D48"/>
    <w:rsid w:val="00B27E74"/>
    <w:rsid w:val="00B70DAA"/>
    <w:rsid w:val="00B84C4C"/>
    <w:rsid w:val="00BC2391"/>
    <w:rsid w:val="00BE0D9B"/>
    <w:rsid w:val="00BF7FCE"/>
    <w:rsid w:val="00C07190"/>
    <w:rsid w:val="00C3075E"/>
    <w:rsid w:val="00C675B9"/>
    <w:rsid w:val="00C93D17"/>
    <w:rsid w:val="00D17A67"/>
    <w:rsid w:val="00DB4FF9"/>
    <w:rsid w:val="00DE0D47"/>
    <w:rsid w:val="00DF43B1"/>
    <w:rsid w:val="00E056E0"/>
    <w:rsid w:val="00E36ED0"/>
    <w:rsid w:val="00E44162"/>
    <w:rsid w:val="00E53294"/>
    <w:rsid w:val="00E5546C"/>
    <w:rsid w:val="00E678F7"/>
    <w:rsid w:val="00E84DD0"/>
    <w:rsid w:val="00ED0DBD"/>
    <w:rsid w:val="00ED65AA"/>
    <w:rsid w:val="00EE64C8"/>
    <w:rsid w:val="00F345E1"/>
    <w:rsid w:val="00F653BD"/>
    <w:rsid w:val="00F72873"/>
    <w:rsid w:val="00F822AC"/>
    <w:rsid w:val="00F937EC"/>
    <w:rsid w:val="00FB256C"/>
    <w:rsid w:val="00FD3A72"/>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762B85E"/>
  <w15:docId w15:val="{6728C059-9EF0-48B9-8522-A82DC386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1">
    <w:name w:val="heading 1"/>
    <w:basedOn w:val="Standard"/>
    <w:next w:val="Standard"/>
    <w:link w:val="berschrift1Zchn"/>
    <w:uiPriority w:val="9"/>
    <w:qFormat/>
    <w:rsid w:val="003B18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9A24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paragraph" w:styleId="berschrift4">
    <w:name w:val="heading 4"/>
    <w:basedOn w:val="Standard"/>
    <w:next w:val="Standard"/>
    <w:link w:val="berschrift4Zchn"/>
    <w:uiPriority w:val="9"/>
    <w:semiHidden/>
    <w:unhideWhenUsed/>
    <w:qFormat/>
    <w:rsid w:val="000233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3734E0"/>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3734E0"/>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1"/>
      </w:numPr>
    </w:pPr>
    <w:rPr>
      <w:szCs w:val="24"/>
    </w:rPr>
  </w:style>
  <w:style w:type="paragraph" w:customStyle="1" w:styleId="AufzhlungKstchenfrCL">
    <w:name w:val="Aufzählung Kästchen für CL"/>
    <w:basedOn w:val="Flietext"/>
    <w:link w:val="AufzhlungKstchenfrCLZchn"/>
    <w:qFormat/>
    <w:rsid w:val="0061648F"/>
    <w:pPr>
      <w:numPr>
        <w:numId w:val="2"/>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B256C"/>
    <w:rPr>
      <w:color w:val="0000FF" w:themeColor="hyperlink"/>
      <w:u w:val="single"/>
    </w:rPr>
  </w:style>
  <w:style w:type="character" w:styleId="Kommentarzeichen">
    <w:name w:val="annotation reference"/>
    <w:basedOn w:val="Absatz-Standardschriftart"/>
    <w:uiPriority w:val="99"/>
    <w:semiHidden/>
    <w:unhideWhenUsed/>
    <w:rsid w:val="009B4579"/>
    <w:rPr>
      <w:sz w:val="16"/>
      <w:szCs w:val="16"/>
    </w:rPr>
  </w:style>
  <w:style w:type="paragraph" w:styleId="Kommentartext">
    <w:name w:val="annotation text"/>
    <w:basedOn w:val="Standard"/>
    <w:link w:val="KommentartextZchn"/>
    <w:uiPriority w:val="99"/>
    <w:semiHidden/>
    <w:unhideWhenUsed/>
    <w:rsid w:val="009B457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4579"/>
    <w:rPr>
      <w:rFonts w:ascii="Calibri" w:eastAsia="Calibri" w:hAnsi="Calibri" w:cs="Calibri"/>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9B4579"/>
    <w:rPr>
      <w:b/>
      <w:bCs/>
    </w:rPr>
  </w:style>
  <w:style w:type="character" w:customStyle="1" w:styleId="KommentarthemaZchn">
    <w:name w:val="Kommentarthema Zchn"/>
    <w:basedOn w:val="KommentartextZchn"/>
    <w:link w:val="Kommentarthema"/>
    <w:uiPriority w:val="99"/>
    <w:semiHidden/>
    <w:rsid w:val="009B4579"/>
    <w:rPr>
      <w:rFonts w:ascii="Calibri" w:eastAsia="Calibri" w:hAnsi="Calibri" w:cs="Calibri"/>
      <w:b/>
      <w:bCs/>
      <w:color w:val="000000"/>
      <w:sz w:val="20"/>
      <w:szCs w:val="20"/>
      <w:u w:color="000000"/>
      <w:bdr w:val="nil"/>
      <w:lang w:eastAsia="de-DE"/>
    </w:rPr>
  </w:style>
  <w:style w:type="paragraph" w:customStyle="1" w:styleId="textsize">
    <w:name w:val="text_size"/>
    <w:basedOn w:val="Standard"/>
    <w:rsid w:val="002368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berschrift1Zchn">
    <w:name w:val="Überschrift 1 Zchn"/>
    <w:basedOn w:val="Absatz-Standardschriftart"/>
    <w:link w:val="berschrift1"/>
    <w:uiPriority w:val="9"/>
    <w:rsid w:val="003B184F"/>
    <w:rPr>
      <w:rFonts w:asciiTheme="majorHAnsi" w:eastAsiaTheme="majorEastAsia" w:hAnsiTheme="majorHAnsi" w:cstheme="majorBidi"/>
      <w:color w:val="365F91" w:themeColor="accent1" w:themeShade="BF"/>
      <w:sz w:val="32"/>
      <w:szCs w:val="32"/>
      <w:u w:color="000000"/>
      <w:bdr w:val="nil"/>
      <w:lang w:eastAsia="de-DE"/>
    </w:rPr>
  </w:style>
  <w:style w:type="paragraph" w:customStyle="1" w:styleId="Text">
    <w:name w:val="Text"/>
    <w:basedOn w:val="Standard"/>
    <w:rsid w:val="003B184F"/>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40" w:lineRule="auto"/>
      <w:jc w:val="both"/>
    </w:pPr>
    <w:rPr>
      <w:rFonts w:ascii="Arial" w:eastAsia="Times New Roman" w:hAnsi="Arial" w:cs="Times New Roman"/>
      <w:color w:val="auto"/>
      <w:sz w:val="20"/>
      <w:szCs w:val="20"/>
      <w:bdr w:val="none" w:sz="0" w:space="0" w:color="auto"/>
    </w:rPr>
  </w:style>
  <w:style w:type="paragraph" w:styleId="Titel">
    <w:name w:val="Title"/>
    <w:basedOn w:val="Standard"/>
    <w:next w:val="Standard"/>
    <w:link w:val="TitelZchn"/>
    <w:qFormat/>
    <w:rsid w:val="003B184F"/>
    <w:pPr>
      <w:pBdr>
        <w:top w:val="none" w:sz="0" w:space="0" w:color="auto"/>
        <w:left w:val="none" w:sz="0" w:space="0" w:color="auto"/>
        <w:bottom w:val="none" w:sz="0" w:space="0" w:color="auto"/>
        <w:right w:val="none" w:sz="0" w:space="0" w:color="auto"/>
        <w:between w:val="none" w:sz="0" w:space="0" w:color="auto"/>
        <w:bar w:val="none" w:sz="0" w:color="auto"/>
      </w:pBdr>
      <w:spacing w:before="1200" w:after="0" w:line="240" w:lineRule="auto"/>
      <w:jc w:val="center"/>
    </w:pPr>
    <w:rPr>
      <w:rFonts w:ascii="Arial" w:eastAsia="Times New Roman" w:hAnsi="Arial" w:cs="Times New Roman"/>
      <w:b/>
      <w:color w:val="auto"/>
      <w:sz w:val="36"/>
      <w:szCs w:val="20"/>
      <w:bdr w:val="none" w:sz="0" w:space="0" w:color="auto"/>
    </w:rPr>
  </w:style>
  <w:style w:type="character" w:customStyle="1" w:styleId="TitelZchn">
    <w:name w:val="Titel Zchn"/>
    <w:basedOn w:val="Absatz-Standardschriftart"/>
    <w:link w:val="Titel"/>
    <w:rsid w:val="003B184F"/>
    <w:rPr>
      <w:rFonts w:ascii="Arial" w:eastAsia="Times New Roman" w:hAnsi="Arial" w:cs="Times New Roman"/>
      <w:b/>
      <w:sz w:val="36"/>
      <w:szCs w:val="20"/>
      <w:lang w:eastAsia="de-DE"/>
    </w:rPr>
  </w:style>
  <w:style w:type="paragraph" w:customStyle="1" w:styleId="Einzug1">
    <w:name w:val="Einzug1"/>
    <w:basedOn w:val="Standard"/>
    <w:next w:val="Standard"/>
    <w:rsid w:val="003B184F"/>
    <w:pPr>
      <w:numPr>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before="240" w:after="0" w:line="240" w:lineRule="atLeast"/>
      <w:jc w:val="both"/>
    </w:pPr>
    <w:rPr>
      <w:rFonts w:ascii="Arial" w:eastAsia="Times New Roman" w:hAnsi="Arial" w:cs="Times New Roman"/>
      <w:color w:val="auto"/>
      <w:sz w:val="20"/>
      <w:szCs w:val="20"/>
      <w:bdr w:val="none" w:sz="0" w:space="0" w:color="auto"/>
    </w:rPr>
  </w:style>
  <w:style w:type="paragraph" w:customStyle="1" w:styleId="Einzug2">
    <w:name w:val="Einzug2"/>
    <w:basedOn w:val="Einzug1"/>
    <w:rsid w:val="003B184F"/>
    <w:pPr>
      <w:numPr>
        <w:numId w:val="4"/>
      </w:numPr>
      <w:spacing w:before="0"/>
      <w:ind w:left="907" w:hanging="340"/>
    </w:pPr>
  </w:style>
  <w:style w:type="paragraph" w:customStyle="1" w:styleId="Einzug3">
    <w:name w:val="Einzug3"/>
    <w:basedOn w:val="Einzug2"/>
    <w:rsid w:val="003B184F"/>
    <w:pPr>
      <w:numPr>
        <w:numId w:val="5"/>
      </w:numPr>
      <w:tabs>
        <w:tab w:val="clear" w:pos="567"/>
        <w:tab w:val="left" w:pos="907"/>
      </w:tabs>
      <w:ind w:left="1247" w:hanging="340"/>
    </w:pPr>
  </w:style>
  <w:style w:type="paragraph" w:customStyle="1" w:styleId="Literatur">
    <w:name w:val="Literatur"/>
    <w:basedOn w:val="Standard"/>
    <w:rsid w:val="003B184F"/>
    <w:pPr>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pacing w:after="0" w:line="240" w:lineRule="auto"/>
      <w:ind w:left="2268" w:hanging="2268"/>
      <w:jc w:val="both"/>
    </w:pPr>
    <w:rPr>
      <w:rFonts w:ascii="Arial" w:eastAsia="Times New Roman" w:hAnsi="Arial" w:cs="Times New Roman"/>
      <w:color w:val="auto"/>
      <w:sz w:val="20"/>
      <w:szCs w:val="20"/>
      <w:bdr w:val="none" w:sz="0" w:space="0" w:color="auto"/>
    </w:rPr>
  </w:style>
  <w:style w:type="paragraph" w:customStyle="1" w:styleId="Verfasser">
    <w:name w:val="Verfasser"/>
    <w:basedOn w:val="Standard"/>
    <w:next w:val="berschrift1"/>
    <w:rsid w:val="003B184F"/>
    <w:pPr>
      <w:pBdr>
        <w:top w:val="none" w:sz="0" w:space="0" w:color="auto"/>
        <w:left w:val="none" w:sz="0" w:space="0" w:color="auto"/>
        <w:bottom w:val="none" w:sz="0" w:space="0" w:color="auto"/>
        <w:right w:val="none" w:sz="0" w:space="0" w:color="auto"/>
        <w:between w:val="none" w:sz="0" w:space="0" w:color="auto"/>
        <w:bar w:val="none" w:sz="0" w:color="auto"/>
      </w:pBdr>
      <w:spacing w:before="480" w:after="0" w:line="240" w:lineRule="auto"/>
      <w:jc w:val="center"/>
    </w:pPr>
    <w:rPr>
      <w:rFonts w:ascii="Arial" w:eastAsia="Times New Roman" w:hAnsi="Arial" w:cs="Times New Roman"/>
      <w:b/>
      <w:color w:val="auto"/>
      <w:sz w:val="20"/>
      <w:szCs w:val="20"/>
      <w:bdr w:val="none" w:sz="0" w:space="0" w:color="auto"/>
    </w:rPr>
  </w:style>
  <w:style w:type="character" w:customStyle="1" w:styleId="a-size-large">
    <w:name w:val="a-size-large"/>
    <w:basedOn w:val="Absatz-Standardschriftart"/>
    <w:rsid w:val="003B184F"/>
  </w:style>
  <w:style w:type="character" w:customStyle="1" w:styleId="berschrift2Zchn">
    <w:name w:val="Überschrift 2 Zchn"/>
    <w:basedOn w:val="Absatz-Standardschriftart"/>
    <w:link w:val="berschrift2"/>
    <w:uiPriority w:val="9"/>
    <w:semiHidden/>
    <w:rsid w:val="009A24C4"/>
    <w:rPr>
      <w:rFonts w:asciiTheme="majorHAnsi" w:eastAsiaTheme="majorEastAsia" w:hAnsiTheme="majorHAnsi" w:cstheme="majorBidi"/>
      <w:color w:val="365F91" w:themeColor="accent1" w:themeShade="BF"/>
      <w:sz w:val="26"/>
      <w:szCs w:val="26"/>
      <w:u w:color="000000"/>
      <w:bdr w:val="nil"/>
      <w:lang w:eastAsia="de-DE"/>
    </w:rPr>
  </w:style>
  <w:style w:type="character" w:customStyle="1" w:styleId="berschrift4Zchn">
    <w:name w:val="Überschrift 4 Zchn"/>
    <w:basedOn w:val="Absatz-Standardschriftart"/>
    <w:link w:val="berschrift4"/>
    <w:uiPriority w:val="9"/>
    <w:semiHidden/>
    <w:rsid w:val="000233EC"/>
    <w:rPr>
      <w:rFonts w:asciiTheme="majorHAnsi" w:eastAsiaTheme="majorEastAsia" w:hAnsiTheme="majorHAnsi" w:cstheme="majorBidi"/>
      <w:i/>
      <w:iCs/>
      <w:color w:val="365F91" w:themeColor="accent1" w:themeShade="BF"/>
      <w:u w:color="000000"/>
      <w:bdr w:val="nil"/>
      <w:lang w:eastAsia="de-DE"/>
    </w:rPr>
  </w:style>
  <w:style w:type="character" w:styleId="BesuchterHyperlink">
    <w:name w:val="FollowedHyperlink"/>
    <w:basedOn w:val="Absatz-Standardschriftart"/>
    <w:uiPriority w:val="99"/>
    <w:semiHidden/>
    <w:unhideWhenUsed/>
    <w:rsid w:val="00321C43"/>
    <w:rPr>
      <w:color w:val="800080" w:themeColor="followedHyperlink"/>
      <w:u w:val="single"/>
    </w:rPr>
  </w:style>
  <w:style w:type="paragraph" w:styleId="Untertitel">
    <w:name w:val="Subtitle"/>
    <w:basedOn w:val="Standard"/>
    <w:next w:val="Standard"/>
    <w:link w:val="UntertitelZchn"/>
    <w:rsid w:val="0043342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320"/>
      <w:contextualSpacing/>
    </w:pPr>
    <w:rPr>
      <w:rFonts w:ascii="Arial" w:eastAsia="Arial" w:hAnsi="Arial" w:cs="Arial"/>
      <w:color w:val="666666"/>
      <w:sz w:val="30"/>
      <w:szCs w:val="30"/>
      <w:bdr w:val="none" w:sz="0" w:space="0" w:color="auto"/>
    </w:rPr>
  </w:style>
  <w:style w:type="character" w:customStyle="1" w:styleId="UntertitelZchn">
    <w:name w:val="Untertitel Zchn"/>
    <w:basedOn w:val="Absatz-Standardschriftart"/>
    <w:link w:val="Untertitel"/>
    <w:rsid w:val="0043342C"/>
    <w:rPr>
      <w:rFonts w:ascii="Arial" w:eastAsia="Arial" w:hAnsi="Arial" w:cs="Arial"/>
      <w:color w:val="66666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278989">
      <w:bodyDiv w:val="1"/>
      <w:marLeft w:val="0"/>
      <w:marRight w:val="0"/>
      <w:marTop w:val="0"/>
      <w:marBottom w:val="0"/>
      <w:divBdr>
        <w:top w:val="none" w:sz="0" w:space="0" w:color="auto"/>
        <w:left w:val="none" w:sz="0" w:space="0" w:color="auto"/>
        <w:bottom w:val="none" w:sz="0" w:space="0" w:color="auto"/>
        <w:right w:val="none" w:sz="0" w:space="0" w:color="auto"/>
      </w:divBdr>
    </w:div>
    <w:div w:id="602763829">
      <w:bodyDiv w:val="1"/>
      <w:marLeft w:val="0"/>
      <w:marRight w:val="0"/>
      <w:marTop w:val="0"/>
      <w:marBottom w:val="0"/>
      <w:divBdr>
        <w:top w:val="none" w:sz="0" w:space="0" w:color="auto"/>
        <w:left w:val="none" w:sz="0" w:space="0" w:color="auto"/>
        <w:bottom w:val="none" w:sz="0" w:space="0" w:color="auto"/>
        <w:right w:val="none" w:sz="0" w:space="0" w:color="auto"/>
      </w:divBdr>
    </w:div>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604613188">
      <w:bodyDiv w:val="1"/>
      <w:marLeft w:val="0"/>
      <w:marRight w:val="0"/>
      <w:marTop w:val="0"/>
      <w:marBottom w:val="0"/>
      <w:divBdr>
        <w:top w:val="none" w:sz="0" w:space="0" w:color="auto"/>
        <w:left w:val="none" w:sz="0" w:space="0" w:color="auto"/>
        <w:bottom w:val="none" w:sz="0" w:space="0" w:color="auto"/>
        <w:right w:val="none" w:sz="0" w:space="0" w:color="auto"/>
      </w:divBdr>
    </w:div>
    <w:div w:id="1662344688">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1976521736">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dlet.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stormboard.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4857C-398D-429A-8D08-D04D2B227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166685C3.dotm</Template>
  <TotalTime>0</TotalTime>
  <Pages>5</Pages>
  <Words>1101</Words>
  <Characters>6937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Kahle, Regina</dc:creator>
  <cp:lastModifiedBy>Quilling, Kathrin</cp:lastModifiedBy>
  <cp:revision>5</cp:revision>
  <cp:lastPrinted>2015-10-16T10:30:00Z</cp:lastPrinted>
  <dcterms:created xsi:type="dcterms:W3CDTF">2016-01-28T13:13:00Z</dcterms:created>
  <dcterms:modified xsi:type="dcterms:W3CDTF">2016-02-02T11:46:00Z</dcterms:modified>
</cp:coreProperties>
</file>